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宋体" w:eastAsia="黑体"/>
          <w:b w:val="0"/>
          <w:bCs w:val="0"/>
          <w:color w:val="auto"/>
          <w:kern w:val="0"/>
          <w:sz w:val="44"/>
        </w:rPr>
      </w:pPr>
      <w:bookmarkStart w:id="0" w:name="_GoBack"/>
      <w:r>
        <w:rPr>
          <w:rFonts w:hint="eastAsia" w:ascii="黑体" w:hAnsi="宋体" w:eastAsia="黑体"/>
          <w:b w:val="0"/>
          <w:bCs w:val="0"/>
          <w:color w:val="auto"/>
          <w:kern w:val="0"/>
          <w:sz w:val="44"/>
        </w:rPr>
        <w:t>中央生态环境保护督察群众信访举报边督边改公开情况一览表</w:t>
      </w:r>
      <w:bookmarkEnd w:id="0"/>
    </w:p>
    <w:p>
      <w:pPr>
        <w:wordWrap w:val="0"/>
        <w:jc w:val="right"/>
        <w:rPr>
          <w:rFonts w:hint="eastAsia" w:ascii="仿宋" w:hAnsi="仿宋" w:eastAsia="仿宋"/>
          <w:b w:val="0"/>
          <w:bCs w:val="0"/>
          <w:color w:val="auto"/>
          <w:kern w:val="0"/>
          <w:sz w:val="24"/>
        </w:rPr>
      </w:pPr>
      <w:r>
        <w:rPr>
          <w:rFonts w:hint="eastAsia" w:ascii="仿宋" w:hAnsi="仿宋" w:eastAsia="仿宋"/>
          <w:b w:val="0"/>
          <w:bCs w:val="0"/>
          <w:color w:val="auto"/>
          <w:kern w:val="0"/>
          <w:sz w:val="24"/>
        </w:rPr>
        <w:t>（第</w:t>
      </w:r>
      <w:r>
        <w:rPr>
          <w:rFonts w:hint="eastAsia" w:ascii="仿宋" w:hAnsi="仿宋" w:eastAsia="仿宋"/>
          <w:b w:val="0"/>
          <w:bCs w:val="0"/>
          <w:color w:val="auto"/>
          <w:kern w:val="0"/>
          <w:sz w:val="24"/>
          <w:lang w:val="en-US" w:eastAsia="zh-CN"/>
        </w:rPr>
        <w:t>26</w:t>
      </w:r>
      <w:r>
        <w:rPr>
          <w:rFonts w:hint="eastAsia" w:ascii="仿宋" w:hAnsi="仿宋" w:eastAsia="仿宋"/>
          <w:b w:val="0"/>
          <w:bCs w:val="0"/>
          <w:color w:val="auto"/>
          <w:kern w:val="0"/>
          <w:sz w:val="24"/>
        </w:rPr>
        <w:t>批 2022年4月</w:t>
      </w:r>
      <w:r>
        <w:rPr>
          <w:rFonts w:hint="eastAsia" w:ascii="仿宋" w:hAnsi="仿宋" w:eastAsia="仿宋"/>
          <w:b w:val="0"/>
          <w:bCs w:val="0"/>
          <w:color w:val="auto"/>
          <w:kern w:val="0"/>
          <w:sz w:val="24"/>
          <w:lang w:val="en-US" w:eastAsia="zh-CN"/>
        </w:rPr>
        <w:t>28</w:t>
      </w:r>
      <w:r>
        <w:rPr>
          <w:rFonts w:hint="eastAsia" w:ascii="仿宋" w:hAnsi="仿宋" w:eastAsia="仿宋"/>
          <w:b w:val="0"/>
          <w:bCs w:val="0"/>
          <w:color w:val="auto"/>
          <w:kern w:val="0"/>
          <w:sz w:val="24"/>
        </w:rPr>
        <w:t>日）</w:t>
      </w:r>
    </w:p>
    <w:tbl>
      <w:tblPr>
        <w:tblStyle w:val="17"/>
        <w:tblW w:w="20946" w:type="dxa"/>
        <w:jc w:val="center"/>
        <w:tblLayout w:type="fixed"/>
        <w:tblCellMar>
          <w:top w:w="0" w:type="dxa"/>
          <w:left w:w="108" w:type="dxa"/>
          <w:bottom w:w="0" w:type="dxa"/>
          <w:right w:w="108" w:type="dxa"/>
        </w:tblCellMar>
      </w:tblPr>
      <w:tblGrid>
        <w:gridCol w:w="572"/>
        <w:gridCol w:w="710"/>
        <w:gridCol w:w="2146"/>
        <w:gridCol w:w="832"/>
        <w:gridCol w:w="700"/>
        <w:gridCol w:w="9159"/>
        <w:gridCol w:w="728"/>
        <w:gridCol w:w="4140"/>
        <w:gridCol w:w="721"/>
        <w:gridCol w:w="1238"/>
      </w:tblGrid>
      <w:tr>
        <w:tblPrEx>
          <w:tblCellMar>
            <w:top w:w="0" w:type="dxa"/>
            <w:left w:w="108" w:type="dxa"/>
            <w:bottom w:w="0" w:type="dxa"/>
            <w:right w:w="108" w:type="dxa"/>
          </w:tblCellMar>
        </w:tblPrEx>
        <w:trPr>
          <w:cantSplit/>
          <w:trHeight w:val="90" w:hRule="atLeast"/>
          <w:tblHeader/>
          <w:jc w:val="center"/>
        </w:trPr>
        <w:tc>
          <w:tcPr>
            <w:tcW w:w="5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lang w:val="en-US" w:eastAsia="zh-CN"/>
              </w:rPr>
              <w:t>序号</w:t>
            </w: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受理</w:t>
            </w:r>
          </w:p>
          <w:p>
            <w:pPr>
              <w:jc w:val="center"/>
              <w:rPr>
                <w:rFonts w:hint="eastAsia" w:ascii="黑体" w:hAnsi="黑体" w:eastAsia="黑体" w:cs="黑体"/>
                <w:sz w:val="24"/>
                <w:szCs w:val="24"/>
              </w:rPr>
            </w:pPr>
            <w:r>
              <w:rPr>
                <w:rFonts w:hint="eastAsia" w:ascii="黑体" w:hAnsi="黑体" w:eastAsia="黑体" w:cs="黑体"/>
                <w:sz w:val="24"/>
                <w:szCs w:val="24"/>
              </w:rPr>
              <w:t>编号</w:t>
            </w:r>
          </w:p>
        </w:tc>
        <w:tc>
          <w:tcPr>
            <w:tcW w:w="21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交办问题基本情况</w:t>
            </w:r>
          </w:p>
        </w:tc>
        <w:tc>
          <w:tcPr>
            <w:tcW w:w="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行政区域</w:t>
            </w:r>
          </w:p>
        </w:tc>
        <w:tc>
          <w:tcPr>
            <w:tcW w:w="7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污染类型</w:t>
            </w:r>
          </w:p>
        </w:tc>
        <w:tc>
          <w:tcPr>
            <w:tcW w:w="9159"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调查核实情况</w:t>
            </w:r>
          </w:p>
        </w:tc>
        <w:tc>
          <w:tcPr>
            <w:tcW w:w="72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是否属实</w:t>
            </w:r>
          </w:p>
        </w:tc>
        <w:tc>
          <w:tcPr>
            <w:tcW w:w="4140"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处理和整改情况</w:t>
            </w:r>
          </w:p>
        </w:tc>
        <w:tc>
          <w:tcPr>
            <w:tcW w:w="7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是否</w:t>
            </w:r>
          </w:p>
          <w:p>
            <w:pPr>
              <w:jc w:val="center"/>
              <w:rPr>
                <w:rFonts w:hint="eastAsia" w:ascii="黑体" w:hAnsi="黑体" w:eastAsia="黑体" w:cs="黑体"/>
                <w:sz w:val="24"/>
                <w:szCs w:val="24"/>
              </w:rPr>
            </w:pPr>
            <w:r>
              <w:rPr>
                <w:rFonts w:hint="eastAsia" w:ascii="黑体" w:hAnsi="黑体" w:eastAsia="黑体" w:cs="黑体"/>
                <w:sz w:val="24"/>
                <w:szCs w:val="24"/>
              </w:rPr>
              <w:t>办结</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责任人被处理情况</w:t>
            </w:r>
          </w:p>
        </w:tc>
      </w:tr>
      <w:tr>
        <w:tblPrEx>
          <w:tblCellMar>
            <w:top w:w="0" w:type="dxa"/>
            <w:left w:w="108" w:type="dxa"/>
            <w:bottom w:w="0" w:type="dxa"/>
            <w:right w:w="108" w:type="dxa"/>
          </w:tblCellMar>
        </w:tblPrEx>
        <w:trPr>
          <w:trHeight w:val="1134"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1</w:t>
            </w: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X2NM202204190062</w:t>
            </w:r>
          </w:p>
        </w:tc>
        <w:tc>
          <w:tcPr>
            <w:tcW w:w="21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群众投诉反映：“锡林郭勒盟太仆寺旗贡宝拉格苏木违法侵占赛汉淖尔嘎查16000余亩集体草场。其中3000余亩草场被苏木违法租给外地商人，建了住房和棚圈，破坏草场”的问题。</w:t>
            </w:r>
          </w:p>
        </w:tc>
        <w:tc>
          <w:tcPr>
            <w:tcW w:w="832" w:type="dxa"/>
            <w:tcBorders>
              <w:top w:val="single" w:color="000000" w:sz="4" w:space="0"/>
              <w:left w:val="single" w:color="000000" w:sz="4" w:space="0"/>
              <w:bottom w:val="single" w:color="000000" w:sz="4" w:space="0"/>
              <w:right w:val="single" w:color="000000" w:sz="4" w:space="0"/>
              <w:tl2br w:val="nil"/>
              <w:tr2bl w:val="nil"/>
            </w:tcBorders>
            <w:noWrap w:val="0"/>
            <w:textDirection w:val="tbLrV"/>
            <w:vAlign w:val="center"/>
          </w:tcPr>
          <w:p>
            <w:pPr>
              <w:ind w:left="113" w:right="113"/>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锡林郭勒盟</w:t>
            </w:r>
          </w:p>
        </w:tc>
        <w:tc>
          <w:tcPr>
            <w:tcW w:w="700" w:type="dxa"/>
            <w:tcBorders>
              <w:top w:val="single" w:color="000000" w:sz="4" w:space="0"/>
              <w:left w:val="single" w:color="000000" w:sz="4" w:space="0"/>
              <w:bottom w:val="single" w:color="000000" w:sz="4" w:space="0"/>
              <w:right w:val="single" w:color="000000" w:sz="4" w:space="0"/>
              <w:tl2br w:val="nil"/>
              <w:tr2bl w:val="nil"/>
            </w:tcBorders>
            <w:noWrap w:val="0"/>
            <w:textDirection w:val="tbLrV"/>
            <w:vAlign w:val="center"/>
          </w:tcPr>
          <w:p>
            <w:pPr>
              <w:ind w:left="113" w:right="113"/>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生态</w:t>
            </w:r>
          </w:p>
        </w:tc>
        <w:tc>
          <w:tcPr>
            <w:tcW w:w="9159"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群众投诉反映：“锡林郭勒盟太仆寺旗贡宝拉格苏木违法侵占赛汉淖尔嘎查16000余亩集体草场。其中3000余亩草场被苏木违法租给外地商人，建了住房和棚圈，破坏草场”的问题。该问题部分属实。</w:t>
            </w:r>
          </w:p>
          <w:p>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经调查核实，赛汉淖尔嘎查周边未进行确权的草场共12986.68亩，非16000亩，未确权的草场属于历史遗留问题。1965年夏，原五星公社（现贡宝拉格苏木）东部8个生产队240名民兵入驻该区域，建设两座草库伦用于全公社打草及抗灾应急。该地块历史上确由全苏木共同使用，贡宝拉格苏木各嘎查对该地块权属存在争议，为了避免出现矛盾冲突，太仆寺旗本着搁置争议、维持现状的原则，对该地块草场未进行确权，由贡宝拉格苏木统一管理。</w:t>
            </w:r>
          </w:p>
          <w:p>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关于3000余亩草场被苏木违法租给外地商人，建了住房和棚圈，破坏草场问题。经核查，为深入推进畜牧业供给侧结构性改革,带动肉牛产业高质量发展，太仆寺旗于2017年在该地块实施了锡林郭勒五丰现代牧业有限公司肉牛养殖扩繁基地项目，2017年5月8日取得太仆寺旗发改委备案（备案号：2017-152527-03-03-005706），2017年11月20日取得环境影响评价报告书批复（太环审书〔2017〕4号），2017年12月27日取得占用草原批复（太政农牧发〔2017〕398号），2018年12月28日办理了设施农业用地备案（太国土设农备字〔2018〕第17号），项目手续齐全。</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该项目以租赁方式使用贡宝拉格苏木赛汉淖尔嘎查附近基本草原3055.58亩，其中49.79亩用于建设牛舍、草棚、青储窖、办公生活区、草料库等畜牧业生产服务工程设施，符合《内蒙古自治区草原征占用审核审批管理规定》，3005.79亩用于放牧。经实地踏查，该项目按照批复建设，未发现破坏草原情况。鉴于该地块紧邻赛汉淖尔嘎查，长期被赛汉淖尔嘎查牧民占用，经贡宝拉格苏木人民政府与赛汉淖尔嘎查协商，决定由赛汉淖尔嘎查与锡林郭勒五丰现代牧业有限公司签订草场租赁合同。2018年8月6日，赛汉淖尔嘎查按照村级民主议事决策制度召开全体牧民大会，经全体牧民一致表决同意将3055.58亩草场以40元每亩/年的价格租赁给锡林郭勒五丰现代牧业有限公司30年。2018年8月18日，锡林郭勒五丰现代牧业有限公司与赛汉淖尔嘎查委员会签订了草场租赁合同，并于8月23日将第一期十年租赁费用支付到户，无违法租用问题。</w:t>
            </w:r>
          </w:p>
        </w:tc>
        <w:tc>
          <w:tcPr>
            <w:tcW w:w="728" w:type="dxa"/>
            <w:tcBorders>
              <w:top w:val="single" w:color="auto" w:sz="4" w:space="0"/>
              <w:left w:val="single" w:color="auto" w:sz="4" w:space="0"/>
              <w:bottom w:val="single" w:color="auto" w:sz="4" w:space="0"/>
              <w:right w:val="single" w:color="auto" w:sz="4" w:space="0"/>
              <w:tl2br w:val="nil"/>
              <w:tr2bl w:val="nil"/>
            </w:tcBorders>
            <w:noWrap w:val="0"/>
            <w:textDirection w:val="tbLrV"/>
            <w:vAlign w:val="center"/>
          </w:tcPr>
          <w:p>
            <w:pPr>
              <w:ind w:left="113" w:right="113"/>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部分属实</w:t>
            </w:r>
          </w:p>
        </w:tc>
        <w:tc>
          <w:tcPr>
            <w:tcW w:w="4140"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下一步，一是进一步加强执法监管，严厉查处违法违规占用草原林地行为。二是做好群众走访工作，耐心解答群众关注问题，依法依规解决群众合理诉求。三是督促企业继续履行社会责任，积极构建更加和谐的牧企关系。</w:t>
            </w:r>
          </w:p>
        </w:tc>
        <w:tc>
          <w:tcPr>
            <w:tcW w:w="721" w:type="dxa"/>
            <w:tcBorders>
              <w:top w:val="single" w:color="000000" w:sz="4" w:space="0"/>
              <w:left w:val="single" w:color="000000" w:sz="4" w:space="0"/>
              <w:bottom w:val="single" w:color="000000" w:sz="4" w:space="0"/>
              <w:right w:val="single" w:color="000000" w:sz="4" w:space="0"/>
              <w:tl2br w:val="nil"/>
              <w:tr2bl w:val="nil"/>
            </w:tcBorders>
            <w:noWrap w:val="0"/>
            <w:textDirection w:val="tbLrV"/>
            <w:vAlign w:val="center"/>
          </w:tcPr>
          <w:p>
            <w:pPr>
              <w:ind w:left="113" w:right="113"/>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已办结</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无</w:t>
            </w:r>
          </w:p>
        </w:tc>
      </w:tr>
      <w:tr>
        <w:tblPrEx>
          <w:tblCellMar>
            <w:top w:w="0" w:type="dxa"/>
            <w:left w:w="108" w:type="dxa"/>
            <w:bottom w:w="0" w:type="dxa"/>
            <w:right w:w="108" w:type="dxa"/>
          </w:tblCellMar>
        </w:tblPrEx>
        <w:trPr>
          <w:trHeight w:val="1134"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2</w:t>
            </w: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X2NM202204190053</w:t>
            </w:r>
          </w:p>
        </w:tc>
        <w:tc>
          <w:tcPr>
            <w:tcW w:w="21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群众投诉反映：“锡林郭勒盟锡林浩特市那达慕西街与北京路交界处原煤矿小区紧邻五六家餐饮店，长期产生噪音和油烟，导致污水管道经常堵塞所产生的恶臭气体，排烟管道四处乱架，严重影响居民生活”的问题。</w:t>
            </w:r>
          </w:p>
        </w:tc>
        <w:tc>
          <w:tcPr>
            <w:tcW w:w="832" w:type="dxa"/>
            <w:tcBorders>
              <w:top w:val="single" w:color="000000" w:sz="4" w:space="0"/>
              <w:left w:val="single" w:color="000000" w:sz="4" w:space="0"/>
              <w:bottom w:val="single" w:color="000000" w:sz="4" w:space="0"/>
              <w:right w:val="single" w:color="000000" w:sz="4" w:space="0"/>
              <w:tl2br w:val="nil"/>
              <w:tr2bl w:val="nil"/>
            </w:tcBorders>
            <w:noWrap w:val="0"/>
            <w:textDirection w:val="tbLrV"/>
            <w:vAlign w:val="center"/>
          </w:tcPr>
          <w:p>
            <w:pPr>
              <w:ind w:left="113" w:right="113"/>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锡林郭勒盟</w:t>
            </w:r>
          </w:p>
        </w:tc>
        <w:tc>
          <w:tcPr>
            <w:tcW w:w="700" w:type="dxa"/>
            <w:tcBorders>
              <w:top w:val="single" w:color="000000" w:sz="4" w:space="0"/>
              <w:left w:val="single" w:color="000000" w:sz="4" w:space="0"/>
              <w:bottom w:val="single" w:color="000000" w:sz="4" w:space="0"/>
              <w:right w:val="single" w:color="000000" w:sz="4" w:space="0"/>
              <w:tl2br w:val="nil"/>
              <w:tr2bl w:val="nil"/>
            </w:tcBorders>
            <w:noWrap w:val="0"/>
            <w:textDirection w:val="tbLrV"/>
            <w:vAlign w:val="center"/>
          </w:tcPr>
          <w:p>
            <w:pPr>
              <w:ind w:left="113" w:right="113"/>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大气、噪音、水</w:t>
            </w:r>
          </w:p>
        </w:tc>
        <w:tc>
          <w:tcPr>
            <w:tcW w:w="9159"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群众投诉反映：“锡林郭勒盟锡林浩特市那达慕西街与北京路交界处原煤矿小区紧邻五六家餐饮店，长期产生噪音和油烟，导致污水管道经常堵塞所产生的恶臭气体，排烟管道四处乱架，严重影响居民生活”的问题。该问题部分属实。</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经现场核查，投诉人所反映的“锡林郭勒盟锡林浩特市那达慕西街与北京路交界处原煤矿小区”为锡林浩特市巴彦查干街道办事处长春小区，小区内共有楼栋7栋，224户，居民435人。经对该小区附近区域进行排查，小区附近共8家餐饮商户（北山屯小锅烀饼店、凯燕莜面骨头馆、酥不腻烧烤鸭、老台门汤包店、老谢头饸饹面、粥三米粥铺、刘一锅筋头巴脑店、聚宝庄石锅菜）全部位于该小区西侧的麒麟宫独栋商住两用三层楼，均已办理营业执照，属正常营业。</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关于油烟问题，7家商户已安装油烟净化设施，老台门汤包店不涉及室外排放油烟，未安装油烟净化设施。调查组对已安装的油烟设施进行检查，均有产品合格证书且正常运行。2022年4月21日，锡林浩特市委托锡林郭勒盟永创环保检测公司，对小区周边8家餐饮商户进行油烟检测，预计5月10日前出具检测报告。同日，锡林浩特市城管局已按照“一户一册”方式，协助餐饮商户制定整改方案。4月22日，7家商户已对油烟净化设施以及排烟管道进行清洗。</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关于噪音问题，现场核查时发现，在餐饮商户经营时，由于油烟净化设施老化、清理不及时等原因，存在声音较大现象。4月21日，已委托锡林郭勒盟永创环保检测公司，对小区周边8家餐饮商户进行分时段、分区域的噪音检测，预计5月10日前出具检测报告。从4月22日开始，已通过清洗设备、加固排烟管道等方式减轻噪音产生。</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关于恶臭气体问题，4月21日上午，锡林浩特市住建部门组织专业人员对该区域污水管道进行了全面检查，未发现该区域污水管道存在淤堵现象。4月21日，已委托锡林郭勒盟永创环保检测公司，对小区内外进行气体检测，预计5月10日前出具检测报告。4月22日，街道办事处已组织物业公司对小区内部污水管道进行清理。同日，市住建局对该区域市政污水管网进行巡查并组织工作人员对管网进行清理维护。</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关于排烟管道四处乱架问题，经现场核查，该小区周边8家餐饮商户根据楼层高度和楼栋造型不同，采用高空直、斜排放方式架设排烟管道，未能整齐排布。4月22日，锡林浩特市城管局已组织商户对外墙排烟管道进行加固修缮，并对墙面修复刮白。</w:t>
            </w:r>
          </w:p>
        </w:tc>
        <w:tc>
          <w:tcPr>
            <w:tcW w:w="728" w:type="dxa"/>
            <w:tcBorders>
              <w:top w:val="single" w:color="auto" w:sz="4" w:space="0"/>
              <w:left w:val="single" w:color="auto" w:sz="4" w:space="0"/>
              <w:bottom w:val="single" w:color="auto" w:sz="4" w:space="0"/>
              <w:right w:val="single" w:color="auto" w:sz="4" w:space="0"/>
              <w:tl2br w:val="nil"/>
              <w:tr2bl w:val="nil"/>
            </w:tcBorders>
            <w:noWrap w:val="0"/>
            <w:textDirection w:val="tbLrV"/>
            <w:vAlign w:val="center"/>
          </w:tcPr>
          <w:p>
            <w:pPr>
              <w:ind w:left="113" w:right="113"/>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部分属实</w:t>
            </w:r>
          </w:p>
        </w:tc>
        <w:tc>
          <w:tcPr>
            <w:tcW w:w="4140"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下一步，一是依据检测结果，依法依规进行整改。二是市场监督管理、住建、城管等部门对全市在商住楼经营餐饮的商户进行全面排查，重点检查油烟净化设施安装、市政管网淤堵、产生异味等情况，最大限度降低对周边群众影响。三是做好周边群众走访工作，及时解答群众关注问题，依法依规解决群众合理诉求。</w:t>
            </w:r>
          </w:p>
        </w:tc>
        <w:tc>
          <w:tcPr>
            <w:tcW w:w="721" w:type="dxa"/>
            <w:tcBorders>
              <w:top w:val="single" w:color="000000" w:sz="4" w:space="0"/>
              <w:left w:val="single" w:color="000000" w:sz="4" w:space="0"/>
              <w:bottom w:val="single" w:color="000000" w:sz="4" w:space="0"/>
              <w:right w:val="single" w:color="000000" w:sz="4" w:space="0"/>
              <w:tl2br w:val="nil"/>
              <w:tr2bl w:val="nil"/>
            </w:tcBorders>
            <w:noWrap w:val="0"/>
            <w:textDirection w:val="tbLrV"/>
            <w:vAlign w:val="center"/>
          </w:tcPr>
          <w:p>
            <w:pPr>
              <w:ind w:left="113" w:right="113"/>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阶段性办结</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无</w:t>
            </w:r>
          </w:p>
        </w:tc>
      </w:tr>
      <w:tr>
        <w:tblPrEx>
          <w:tblCellMar>
            <w:top w:w="0" w:type="dxa"/>
            <w:left w:w="108" w:type="dxa"/>
            <w:bottom w:w="0" w:type="dxa"/>
            <w:right w:w="108" w:type="dxa"/>
          </w:tblCellMar>
        </w:tblPrEx>
        <w:trPr>
          <w:trHeight w:val="1134"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3</w:t>
            </w:r>
          </w:p>
        </w:tc>
        <w:tc>
          <w:tcPr>
            <w:tcW w:w="7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D2NM202204190027</w:t>
            </w:r>
          </w:p>
        </w:tc>
        <w:tc>
          <w:tcPr>
            <w:tcW w:w="21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群众投诉反映：“锡林郭勒盟正镶白旗默绿华城小区下水井有异味；温馨家园小区下水井有异味”的问题。</w:t>
            </w:r>
          </w:p>
        </w:tc>
        <w:tc>
          <w:tcPr>
            <w:tcW w:w="832" w:type="dxa"/>
            <w:tcBorders>
              <w:top w:val="single" w:color="000000" w:sz="4" w:space="0"/>
              <w:left w:val="single" w:color="000000" w:sz="4" w:space="0"/>
              <w:bottom w:val="single" w:color="000000" w:sz="4" w:space="0"/>
              <w:right w:val="single" w:color="000000" w:sz="4" w:space="0"/>
              <w:tl2br w:val="nil"/>
              <w:tr2bl w:val="nil"/>
            </w:tcBorders>
            <w:noWrap w:val="0"/>
            <w:textDirection w:val="tbLrV"/>
            <w:vAlign w:val="center"/>
          </w:tcPr>
          <w:p>
            <w:pPr>
              <w:ind w:left="113" w:right="113"/>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锡林郭勒盟</w:t>
            </w:r>
          </w:p>
        </w:tc>
        <w:tc>
          <w:tcPr>
            <w:tcW w:w="700" w:type="dxa"/>
            <w:tcBorders>
              <w:top w:val="single" w:color="000000" w:sz="4" w:space="0"/>
              <w:left w:val="single" w:color="000000" w:sz="4" w:space="0"/>
              <w:bottom w:val="single" w:color="000000" w:sz="4" w:space="0"/>
              <w:right w:val="single" w:color="000000" w:sz="4" w:space="0"/>
              <w:tl2br w:val="nil"/>
              <w:tr2bl w:val="nil"/>
            </w:tcBorders>
            <w:noWrap w:val="0"/>
            <w:textDirection w:val="tbLrV"/>
            <w:vAlign w:val="center"/>
          </w:tcPr>
          <w:p>
            <w:pPr>
              <w:ind w:left="113" w:right="113"/>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大气</w:t>
            </w:r>
          </w:p>
        </w:tc>
        <w:tc>
          <w:tcPr>
            <w:tcW w:w="9159"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群众投诉反映：“锡林郭勒盟正镶白旗默绿华城小区下水井有异味；温馨家园小区下水井有异味”的问题。该问题属实。</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1.关于锡林郭勒盟正镶白旗默绿华城小区下水井有异味问题。漠绿花城小区（即群众反映的默绿华城小区）建于2011年7月，共有居民楼11栋，污水井28处，小区生活排水管道布置符合《建筑给水排水设计标准》（GB50015-2019），满足居民日常生活排放需求。经实地查看,漠绿花城小区有6处污水井因污水沉积产生淤泥,不同程度存在堵塞现象,污水井周边有一定异味。经与该小区物业公司负责人了解，今年气温回升后，物业公司尚未对污水管道进行清掏清理。</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2.关于温馨家园小区下水井有异味问题。温馨家园小区建于2008年，共有居民楼2栋，污水井1处，因小区排水管道老化腐蚀，过水能力下降,正镶白旗按照《建筑给水排水设计标准》（GB50015-2019），于2020年对排污主管网进行改造，现能够满足居民日常生活排放需求。经实地查看,温馨家园小区污水井排污畅通,无堵塞现象。2022年4月19日下午至20日上午，正镶白旗组织对两个小区29处污水井进行清掏，共清掏淤泥15车、约75吨。</w:t>
            </w:r>
          </w:p>
        </w:tc>
        <w:tc>
          <w:tcPr>
            <w:tcW w:w="728" w:type="dxa"/>
            <w:tcBorders>
              <w:top w:val="single" w:color="auto" w:sz="4" w:space="0"/>
              <w:left w:val="single" w:color="auto" w:sz="4" w:space="0"/>
              <w:bottom w:val="single" w:color="auto" w:sz="4" w:space="0"/>
              <w:right w:val="single" w:color="auto" w:sz="4" w:space="0"/>
              <w:tl2br w:val="nil"/>
              <w:tr2bl w:val="nil"/>
            </w:tcBorders>
            <w:noWrap w:val="0"/>
            <w:textDirection w:val="tbLrV"/>
            <w:vAlign w:val="center"/>
          </w:tcPr>
          <w:p>
            <w:pPr>
              <w:ind w:left="113" w:right="113"/>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属实</w:t>
            </w:r>
          </w:p>
        </w:tc>
        <w:tc>
          <w:tcPr>
            <w:tcW w:w="4140"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下一步，正镶白旗将进一步加强物业管理，定期做好小区排污设施清掏清理工作，及时疏通污水管道，为广大居民创造良好生活环境。同时，持续做好群众走访工作，了解群众生产生活困难和关注问题，依法依规解决群众合理诉求。</w:t>
            </w:r>
          </w:p>
        </w:tc>
        <w:tc>
          <w:tcPr>
            <w:tcW w:w="721" w:type="dxa"/>
            <w:tcBorders>
              <w:top w:val="single" w:color="000000" w:sz="4" w:space="0"/>
              <w:left w:val="single" w:color="000000" w:sz="4" w:space="0"/>
              <w:bottom w:val="single" w:color="000000" w:sz="4" w:space="0"/>
              <w:right w:val="single" w:color="000000" w:sz="4" w:space="0"/>
              <w:tl2br w:val="nil"/>
              <w:tr2bl w:val="nil"/>
            </w:tcBorders>
            <w:noWrap w:val="0"/>
            <w:textDirection w:val="tbLrV"/>
            <w:vAlign w:val="center"/>
          </w:tcPr>
          <w:p>
            <w:pPr>
              <w:ind w:left="113" w:right="113"/>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已办结</w:t>
            </w:r>
          </w:p>
        </w:tc>
        <w:tc>
          <w:tcPr>
            <w:tcW w:w="12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无</w:t>
            </w:r>
          </w:p>
        </w:tc>
      </w:tr>
    </w:tbl>
    <w:p>
      <w:pPr>
        <w:pStyle w:val="4"/>
        <w:wordWrap/>
        <w:rPr>
          <w:rFonts w:hint="eastAsia"/>
          <w:b/>
          <w:bCs/>
        </w:rPr>
      </w:pPr>
    </w:p>
    <w:p>
      <w:pPr>
        <w:pStyle w:val="4"/>
        <w:wordWrap/>
        <w:rPr>
          <w:rFonts w:hint="eastAsia"/>
          <w:b/>
          <w:bCs/>
        </w:rPr>
      </w:pPr>
    </w:p>
    <w:p>
      <w:pPr>
        <w:pStyle w:val="5"/>
        <w:rPr>
          <w:rFonts w:hint="eastAsia"/>
          <w:color w:val="auto"/>
        </w:rPr>
      </w:pPr>
    </w:p>
    <w:sectPr>
      <w:pgSz w:w="23811" w:h="16838" w:orient="landscape"/>
      <w:pgMar w:top="1134" w:right="1440" w:bottom="113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F427D"/>
    <w:rsid w:val="004F2AEE"/>
    <w:rsid w:val="007201D9"/>
    <w:rsid w:val="00C467C6"/>
    <w:rsid w:val="01E724B4"/>
    <w:rsid w:val="022D740E"/>
    <w:rsid w:val="02761F5A"/>
    <w:rsid w:val="029666F6"/>
    <w:rsid w:val="031F62AF"/>
    <w:rsid w:val="032A61B8"/>
    <w:rsid w:val="03337134"/>
    <w:rsid w:val="0376524D"/>
    <w:rsid w:val="03AA6382"/>
    <w:rsid w:val="03C37ED2"/>
    <w:rsid w:val="03EC63C9"/>
    <w:rsid w:val="04230D52"/>
    <w:rsid w:val="042973A7"/>
    <w:rsid w:val="046E5326"/>
    <w:rsid w:val="04AA1BDF"/>
    <w:rsid w:val="0541248F"/>
    <w:rsid w:val="05934E72"/>
    <w:rsid w:val="061B11E8"/>
    <w:rsid w:val="0737091A"/>
    <w:rsid w:val="07926EDC"/>
    <w:rsid w:val="07FC1A2E"/>
    <w:rsid w:val="086662A7"/>
    <w:rsid w:val="08A850E1"/>
    <w:rsid w:val="09D313E2"/>
    <w:rsid w:val="09E61312"/>
    <w:rsid w:val="0A792A63"/>
    <w:rsid w:val="0ACE6829"/>
    <w:rsid w:val="0ADE4913"/>
    <w:rsid w:val="0B0C7351"/>
    <w:rsid w:val="0B5D5338"/>
    <w:rsid w:val="0B626F71"/>
    <w:rsid w:val="0BD4628E"/>
    <w:rsid w:val="0BE02D3B"/>
    <w:rsid w:val="0C0E5053"/>
    <w:rsid w:val="0C601702"/>
    <w:rsid w:val="0C785CE1"/>
    <w:rsid w:val="0C7D4D2E"/>
    <w:rsid w:val="0C8436C3"/>
    <w:rsid w:val="0D834EE9"/>
    <w:rsid w:val="0DD7058C"/>
    <w:rsid w:val="0E372937"/>
    <w:rsid w:val="0EB355FD"/>
    <w:rsid w:val="0EEF7F38"/>
    <w:rsid w:val="0F0314C9"/>
    <w:rsid w:val="0F9848F1"/>
    <w:rsid w:val="0F9F636F"/>
    <w:rsid w:val="101D36EA"/>
    <w:rsid w:val="104853E6"/>
    <w:rsid w:val="105E23FD"/>
    <w:rsid w:val="10CA4947"/>
    <w:rsid w:val="10EE3D58"/>
    <w:rsid w:val="11C2568C"/>
    <w:rsid w:val="11F272A1"/>
    <w:rsid w:val="12241DEC"/>
    <w:rsid w:val="131B6B83"/>
    <w:rsid w:val="137839EF"/>
    <w:rsid w:val="14AB1989"/>
    <w:rsid w:val="14D71823"/>
    <w:rsid w:val="153A3AD2"/>
    <w:rsid w:val="156222A6"/>
    <w:rsid w:val="163B77B8"/>
    <w:rsid w:val="16876302"/>
    <w:rsid w:val="17463BEB"/>
    <w:rsid w:val="178F7340"/>
    <w:rsid w:val="18FD426B"/>
    <w:rsid w:val="19603882"/>
    <w:rsid w:val="19A62205"/>
    <w:rsid w:val="19C54C0F"/>
    <w:rsid w:val="19ED5EC7"/>
    <w:rsid w:val="1A774194"/>
    <w:rsid w:val="1B60171F"/>
    <w:rsid w:val="1B7E7B6F"/>
    <w:rsid w:val="1C9B0535"/>
    <w:rsid w:val="1CCD4266"/>
    <w:rsid w:val="1D40430A"/>
    <w:rsid w:val="1DEC1665"/>
    <w:rsid w:val="1E5135A1"/>
    <w:rsid w:val="1ECC0A24"/>
    <w:rsid w:val="1ED639AC"/>
    <w:rsid w:val="1F126AC2"/>
    <w:rsid w:val="202B59E2"/>
    <w:rsid w:val="20DB01C7"/>
    <w:rsid w:val="20FA1CCE"/>
    <w:rsid w:val="21DF7DD7"/>
    <w:rsid w:val="220B17A9"/>
    <w:rsid w:val="23A84E28"/>
    <w:rsid w:val="23B343B6"/>
    <w:rsid w:val="245E4EC9"/>
    <w:rsid w:val="2461734A"/>
    <w:rsid w:val="247104F9"/>
    <w:rsid w:val="24E82C83"/>
    <w:rsid w:val="24F750CD"/>
    <w:rsid w:val="250A44A9"/>
    <w:rsid w:val="266E5C97"/>
    <w:rsid w:val="26A34CAF"/>
    <w:rsid w:val="26D05377"/>
    <w:rsid w:val="276353BB"/>
    <w:rsid w:val="2764723C"/>
    <w:rsid w:val="278D39F6"/>
    <w:rsid w:val="28976054"/>
    <w:rsid w:val="29556CCF"/>
    <w:rsid w:val="298377BC"/>
    <w:rsid w:val="29957303"/>
    <w:rsid w:val="29E07E9C"/>
    <w:rsid w:val="2A946CEF"/>
    <w:rsid w:val="2B2B78CB"/>
    <w:rsid w:val="2B7E692D"/>
    <w:rsid w:val="2BE617CC"/>
    <w:rsid w:val="2C9128D6"/>
    <w:rsid w:val="2C944AFD"/>
    <w:rsid w:val="2E9D3FDD"/>
    <w:rsid w:val="2F2357DB"/>
    <w:rsid w:val="2F7E0DD0"/>
    <w:rsid w:val="2FE07114"/>
    <w:rsid w:val="30EE0767"/>
    <w:rsid w:val="322A19E4"/>
    <w:rsid w:val="32497E6B"/>
    <w:rsid w:val="32757FE6"/>
    <w:rsid w:val="33570B76"/>
    <w:rsid w:val="33752B2D"/>
    <w:rsid w:val="33DE6FB0"/>
    <w:rsid w:val="34294E9F"/>
    <w:rsid w:val="34642809"/>
    <w:rsid w:val="346825B6"/>
    <w:rsid w:val="358979B9"/>
    <w:rsid w:val="36056CF3"/>
    <w:rsid w:val="36C821F7"/>
    <w:rsid w:val="37046FAB"/>
    <w:rsid w:val="37277DE7"/>
    <w:rsid w:val="384829D0"/>
    <w:rsid w:val="3894354B"/>
    <w:rsid w:val="38BA4C91"/>
    <w:rsid w:val="39074B30"/>
    <w:rsid w:val="395C34D5"/>
    <w:rsid w:val="3A03179B"/>
    <w:rsid w:val="3A23618E"/>
    <w:rsid w:val="3A670E49"/>
    <w:rsid w:val="3AD252C3"/>
    <w:rsid w:val="3B7B1805"/>
    <w:rsid w:val="3BFC3324"/>
    <w:rsid w:val="3C8B250B"/>
    <w:rsid w:val="3D354402"/>
    <w:rsid w:val="3DBE1A18"/>
    <w:rsid w:val="3E874C97"/>
    <w:rsid w:val="3E975D85"/>
    <w:rsid w:val="3EB71FB6"/>
    <w:rsid w:val="3ECE62F0"/>
    <w:rsid w:val="3F285D49"/>
    <w:rsid w:val="3FCF485A"/>
    <w:rsid w:val="3FF9513B"/>
    <w:rsid w:val="411918A4"/>
    <w:rsid w:val="41595B0A"/>
    <w:rsid w:val="419C0587"/>
    <w:rsid w:val="41C44885"/>
    <w:rsid w:val="41DD0428"/>
    <w:rsid w:val="42663757"/>
    <w:rsid w:val="428B1C17"/>
    <w:rsid w:val="428B3C42"/>
    <w:rsid w:val="42C230FD"/>
    <w:rsid w:val="43956A04"/>
    <w:rsid w:val="44242FC1"/>
    <w:rsid w:val="444B2926"/>
    <w:rsid w:val="4513485D"/>
    <w:rsid w:val="45AD1E82"/>
    <w:rsid w:val="45F53823"/>
    <w:rsid w:val="46284338"/>
    <w:rsid w:val="464C20DC"/>
    <w:rsid w:val="46AE3B8B"/>
    <w:rsid w:val="46D30747"/>
    <w:rsid w:val="48023D6D"/>
    <w:rsid w:val="48042E78"/>
    <w:rsid w:val="484F3DFE"/>
    <w:rsid w:val="48CC36A0"/>
    <w:rsid w:val="48FA2106"/>
    <w:rsid w:val="49A31568"/>
    <w:rsid w:val="49F216E7"/>
    <w:rsid w:val="4A1B3325"/>
    <w:rsid w:val="4A3D2BE0"/>
    <w:rsid w:val="4A6D4A0F"/>
    <w:rsid w:val="4A791606"/>
    <w:rsid w:val="4BC10C51"/>
    <w:rsid w:val="4C904F4C"/>
    <w:rsid w:val="4CAF3E21"/>
    <w:rsid w:val="4CB850CC"/>
    <w:rsid w:val="4D06634C"/>
    <w:rsid w:val="4D5123C6"/>
    <w:rsid w:val="4D752730"/>
    <w:rsid w:val="4D7F7D7C"/>
    <w:rsid w:val="4D9D385D"/>
    <w:rsid w:val="4DD86643"/>
    <w:rsid w:val="4E96731C"/>
    <w:rsid w:val="4E9E788D"/>
    <w:rsid w:val="4ED20BEB"/>
    <w:rsid w:val="4EED4AD2"/>
    <w:rsid w:val="4F24454E"/>
    <w:rsid w:val="4F2F6737"/>
    <w:rsid w:val="4F3F2653"/>
    <w:rsid w:val="4F4C6AE6"/>
    <w:rsid w:val="4F746578"/>
    <w:rsid w:val="4F9517EC"/>
    <w:rsid w:val="4FBF252F"/>
    <w:rsid w:val="4FCB6460"/>
    <w:rsid w:val="509D5617"/>
    <w:rsid w:val="50BF4FED"/>
    <w:rsid w:val="51476482"/>
    <w:rsid w:val="51D412F6"/>
    <w:rsid w:val="527E6B12"/>
    <w:rsid w:val="52EF42F1"/>
    <w:rsid w:val="53B0506E"/>
    <w:rsid w:val="541A7FB6"/>
    <w:rsid w:val="54B855BE"/>
    <w:rsid w:val="55572544"/>
    <w:rsid w:val="565175FF"/>
    <w:rsid w:val="571B0D2A"/>
    <w:rsid w:val="57E72E3F"/>
    <w:rsid w:val="57EE3FE4"/>
    <w:rsid w:val="584414A7"/>
    <w:rsid w:val="58880970"/>
    <w:rsid w:val="58DE6CF7"/>
    <w:rsid w:val="58FF730F"/>
    <w:rsid w:val="59286696"/>
    <w:rsid w:val="592D0334"/>
    <w:rsid w:val="5953795C"/>
    <w:rsid w:val="59D86349"/>
    <w:rsid w:val="59F04968"/>
    <w:rsid w:val="59F514B4"/>
    <w:rsid w:val="5A911AE0"/>
    <w:rsid w:val="5AF65DFD"/>
    <w:rsid w:val="5B6B43B1"/>
    <w:rsid w:val="5C14118E"/>
    <w:rsid w:val="5C7A36E7"/>
    <w:rsid w:val="5C8E5E6F"/>
    <w:rsid w:val="5C9B3D14"/>
    <w:rsid w:val="5C9F1EC7"/>
    <w:rsid w:val="5DA60021"/>
    <w:rsid w:val="5DCD545C"/>
    <w:rsid w:val="5DF8495F"/>
    <w:rsid w:val="5E224037"/>
    <w:rsid w:val="5E6E5BA9"/>
    <w:rsid w:val="5F0F2C9A"/>
    <w:rsid w:val="5FFF22A7"/>
    <w:rsid w:val="607641C6"/>
    <w:rsid w:val="60C16E5C"/>
    <w:rsid w:val="611E6F16"/>
    <w:rsid w:val="614940AB"/>
    <w:rsid w:val="61B632BB"/>
    <w:rsid w:val="61ED6D3C"/>
    <w:rsid w:val="6260157C"/>
    <w:rsid w:val="6260609C"/>
    <w:rsid w:val="6290228F"/>
    <w:rsid w:val="62FF4946"/>
    <w:rsid w:val="63905DDA"/>
    <w:rsid w:val="651E3C01"/>
    <w:rsid w:val="65913850"/>
    <w:rsid w:val="66592B36"/>
    <w:rsid w:val="66B15CF5"/>
    <w:rsid w:val="66EF2B81"/>
    <w:rsid w:val="67632F3A"/>
    <w:rsid w:val="67694C01"/>
    <w:rsid w:val="685D1D6A"/>
    <w:rsid w:val="6A927061"/>
    <w:rsid w:val="6AD42215"/>
    <w:rsid w:val="6B4F4316"/>
    <w:rsid w:val="6B614B81"/>
    <w:rsid w:val="6B8579B3"/>
    <w:rsid w:val="6BDE0C9D"/>
    <w:rsid w:val="6C663A1A"/>
    <w:rsid w:val="6CD81D64"/>
    <w:rsid w:val="6D3C7EFA"/>
    <w:rsid w:val="6D4A21CE"/>
    <w:rsid w:val="6E25722B"/>
    <w:rsid w:val="6E3E27A8"/>
    <w:rsid w:val="6E423939"/>
    <w:rsid w:val="6EC35D4A"/>
    <w:rsid w:val="6F690107"/>
    <w:rsid w:val="6FD8262E"/>
    <w:rsid w:val="70383062"/>
    <w:rsid w:val="70967F6C"/>
    <w:rsid w:val="70AF0705"/>
    <w:rsid w:val="70DB66B0"/>
    <w:rsid w:val="7105409D"/>
    <w:rsid w:val="71463740"/>
    <w:rsid w:val="718E5DB3"/>
    <w:rsid w:val="72403457"/>
    <w:rsid w:val="72B168CD"/>
    <w:rsid w:val="7337747D"/>
    <w:rsid w:val="739358D2"/>
    <w:rsid w:val="73A94701"/>
    <w:rsid w:val="73D518C0"/>
    <w:rsid w:val="748862C1"/>
    <w:rsid w:val="74A2206E"/>
    <w:rsid w:val="74F579ED"/>
    <w:rsid w:val="75607A57"/>
    <w:rsid w:val="75B50E95"/>
    <w:rsid w:val="75C80BC8"/>
    <w:rsid w:val="76F37B7F"/>
    <w:rsid w:val="7710549F"/>
    <w:rsid w:val="77EC2986"/>
    <w:rsid w:val="787A59E1"/>
    <w:rsid w:val="788F6C44"/>
    <w:rsid w:val="791E6F1F"/>
    <w:rsid w:val="79555698"/>
    <w:rsid w:val="797D43BF"/>
    <w:rsid w:val="7A060275"/>
    <w:rsid w:val="7A2605B3"/>
    <w:rsid w:val="7A4F6836"/>
    <w:rsid w:val="7A9E639B"/>
    <w:rsid w:val="7AB23A7B"/>
    <w:rsid w:val="7B5543B1"/>
    <w:rsid w:val="7BE532AE"/>
    <w:rsid w:val="7C2130C5"/>
    <w:rsid w:val="7C4A4A58"/>
    <w:rsid w:val="7DA67C73"/>
    <w:rsid w:val="7E5E4A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lang w:val="en-US" w:eastAsia="zh-CN"/>
    </w:rPr>
  </w:style>
  <w:style w:type="paragraph" w:styleId="3">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9">
    <w:name w:val="Default Paragraph Font"/>
    <w:unhideWhenUsed/>
    <w:qFormat/>
    <w:uiPriority w:val="1"/>
    <w:rPr>
      <w:rFonts w:hint="default"/>
      <w:sz w:val="24"/>
    </w:rPr>
  </w:style>
  <w:style w:type="table" w:default="1" w:styleId="17">
    <w:name w:val="Normal Table"/>
    <w:qFormat/>
    <w:uiPriority w:val="99"/>
    <w:tblPr>
      <w:tblCellMar>
        <w:top w:w="0" w:type="dxa"/>
        <w:left w:w="108" w:type="dxa"/>
        <w:bottom w:w="0" w:type="dxa"/>
        <w:right w:w="108" w:type="dxa"/>
      </w:tblCellMar>
    </w:tblPr>
  </w:style>
  <w:style w:type="paragraph" w:customStyle="1" w:styleId="2">
    <w:name w:val="正文缩进1"/>
    <w:unhideWhenUsed/>
    <w:qFormat/>
    <w:uiPriority w:val="0"/>
    <w:pPr>
      <w:widowControl w:val="0"/>
      <w:spacing w:beforeLines="0" w:afterLines="0"/>
      <w:ind w:firstLine="420" w:firstLineChars="200"/>
      <w:jc w:val="both"/>
    </w:pPr>
    <w:rPr>
      <w:rFonts w:hint="default" w:ascii="Calibri" w:hAnsi="Calibri" w:eastAsia="宋体" w:cs="Times New Roman"/>
      <w:kern w:val="2"/>
      <w:sz w:val="21"/>
      <w:lang w:val="en-US" w:eastAsia="zh-CN"/>
    </w:rPr>
  </w:style>
  <w:style w:type="paragraph" w:styleId="4">
    <w:name w:val="table of authorities"/>
    <w:basedOn w:val="1"/>
    <w:next w:val="1"/>
    <w:qFormat/>
    <w:uiPriority w:val="0"/>
    <w:pPr>
      <w:ind w:left="420" w:leftChars="200"/>
    </w:pPr>
  </w:style>
  <w:style w:type="paragraph" w:styleId="5">
    <w:name w:val="Normal Indent"/>
    <w:basedOn w:val="1"/>
    <w:unhideWhenUsed/>
    <w:qFormat/>
    <w:uiPriority w:val="99"/>
    <w:pPr>
      <w:spacing w:beforeLines="0" w:afterLines="0"/>
      <w:ind w:firstLine="420" w:firstLineChars="200"/>
    </w:pPr>
    <w:rPr>
      <w:rFonts w:hint="default"/>
      <w:sz w:val="21"/>
    </w:rPr>
  </w:style>
  <w:style w:type="paragraph" w:styleId="6">
    <w:name w:val="Body Text"/>
    <w:basedOn w:val="1"/>
    <w:next w:val="7"/>
    <w:unhideWhenUsed/>
    <w:qFormat/>
    <w:uiPriority w:val="0"/>
    <w:pPr>
      <w:spacing w:beforeLines="0" w:after="120" w:afterLines="0"/>
    </w:pPr>
    <w:rPr>
      <w:rFonts w:hint="default"/>
      <w:sz w:val="21"/>
    </w:rPr>
  </w:style>
  <w:style w:type="paragraph" w:styleId="7">
    <w:name w:val="Normal (Web)"/>
    <w:basedOn w:val="1"/>
    <w:next w:val="8"/>
    <w:unhideWhenUsed/>
    <w:qFormat/>
    <w:uiPriority w:val="0"/>
    <w:pPr>
      <w:widowControl/>
      <w:spacing w:before="100" w:beforeLines="0" w:beforeAutospacing="1" w:after="100" w:afterLines="0" w:afterAutospacing="1"/>
      <w:jc w:val="left"/>
    </w:pPr>
    <w:rPr>
      <w:rFonts w:hint="eastAsia" w:ascii="宋体" w:hAnsi="宋体"/>
      <w:sz w:val="24"/>
    </w:rPr>
  </w:style>
  <w:style w:type="paragraph" w:styleId="8">
    <w:name w:val="Body Text First Indent"/>
    <w:basedOn w:val="6"/>
    <w:next w:val="1"/>
    <w:qFormat/>
    <w:uiPriority w:val="0"/>
    <w:pPr>
      <w:ind w:firstLine="420"/>
    </w:pPr>
  </w:style>
  <w:style w:type="paragraph" w:styleId="9">
    <w:name w:val="Body Text Indent"/>
    <w:basedOn w:val="1"/>
    <w:next w:val="10"/>
    <w:unhideWhenUsed/>
    <w:qFormat/>
    <w:uiPriority w:val="0"/>
    <w:pPr>
      <w:spacing w:beforeLines="0" w:after="120"/>
      <w:ind w:left="420" w:leftChars="200"/>
    </w:pPr>
    <w:rPr>
      <w:rFonts w:hint="default"/>
      <w:sz w:val="21"/>
    </w:rPr>
  </w:style>
  <w:style w:type="paragraph" w:styleId="10">
    <w:name w:val="toc 2"/>
    <w:basedOn w:val="1"/>
    <w:next w:val="1"/>
    <w:qFormat/>
    <w:uiPriority w:val="0"/>
    <w:pPr>
      <w:ind w:left="420"/>
      <w:jc w:val="center"/>
    </w:pPr>
    <w:rPr>
      <w:rFonts w:ascii="黑体" w:eastAsia="黑体"/>
      <w:szCs w:val="32"/>
    </w:rPr>
  </w:style>
  <w:style w:type="paragraph" w:styleId="11">
    <w:name w:val="Plain Text"/>
    <w:basedOn w:val="1"/>
    <w:unhideWhenUsed/>
    <w:qFormat/>
    <w:uiPriority w:val="0"/>
    <w:pPr>
      <w:spacing w:beforeLines="0" w:afterLines="0"/>
    </w:pPr>
    <w:rPr>
      <w:rFonts w:hint="default" w:hAnsi="Courier New"/>
      <w:sz w:val="21"/>
    </w:rPr>
  </w:style>
  <w:style w:type="paragraph" w:styleId="12">
    <w:name w:val="Balloon Text"/>
    <w:basedOn w:val="1"/>
    <w:link w:val="24"/>
    <w:unhideWhenUsed/>
    <w:qFormat/>
    <w:uiPriority w:val="0"/>
    <w:pPr>
      <w:spacing w:beforeLines="0" w:afterLines="0"/>
    </w:pPr>
    <w:rPr>
      <w:rFonts w:hint="default"/>
      <w:sz w:val="18"/>
    </w:rPr>
  </w:style>
  <w:style w:type="paragraph" w:styleId="13">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index 9"/>
    <w:basedOn w:val="1"/>
    <w:next w:val="1"/>
    <w:qFormat/>
    <w:uiPriority w:val="0"/>
    <w:pPr>
      <w:ind w:left="3360"/>
    </w:pPr>
  </w:style>
  <w:style w:type="paragraph" w:styleId="15">
    <w:name w:val="Title"/>
    <w:basedOn w:val="1"/>
    <w:next w:val="1"/>
    <w:unhideWhenUsed/>
    <w:qFormat/>
    <w:uiPriority w:val="0"/>
    <w:pPr>
      <w:spacing w:before="240" w:beforeLines="0" w:after="60" w:afterLines="0"/>
      <w:jc w:val="center"/>
      <w:outlineLvl w:val="0"/>
    </w:pPr>
    <w:rPr>
      <w:rFonts w:hint="default" w:ascii="Cambria" w:hAnsi="Cambria"/>
      <w:b/>
      <w:kern w:val="0"/>
      <w:sz w:val="32"/>
    </w:rPr>
  </w:style>
  <w:style w:type="paragraph" w:styleId="16">
    <w:name w:val="Body Text First Indent 2"/>
    <w:basedOn w:val="9"/>
    <w:next w:val="1"/>
    <w:unhideWhenUsed/>
    <w:qFormat/>
    <w:uiPriority w:val="0"/>
    <w:pPr>
      <w:spacing w:beforeLines="0"/>
      <w:ind w:firstLine="420" w:firstLineChars="200"/>
    </w:pPr>
    <w:rPr>
      <w:rFonts w:hint="default"/>
      <w:sz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List Paragraph"/>
    <w:basedOn w:val="1"/>
    <w:unhideWhenUsed/>
    <w:qFormat/>
    <w:uiPriority w:val="99"/>
    <w:pPr>
      <w:spacing w:beforeLines="0" w:afterLines="0"/>
      <w:ind w:firstLine="420" w:firstLineChars="200"/>
    </w:pPr>
    <w:rPr>
      <w:rFonts w:hint="default"/>
      <w:sz w:val="21"/>
    </w:rPr>
  </w:style>
  <w:style w:type="character" w:customStyle="1" w:styleId="21">
    <w:name w:val="font01"/>
    <w:basedOn w:val="19"/>
    <w:unhideWhenUsed/>
    <w:qFormat/>
    <w:uiPriority w:val="0"/>
    <w:rPr>
      <w:rFonts w:hint="eastAsia" w:ascii="宋体" w:hAnsi="宋体" w:eastAsia="宋体"/>
      <w:color w:val="FF0000"/>
      <w:sz w:val="16"/>
    </w:rPr>
  </w:style>
  <w:style w:type="character" w:customStyle="1" w:styleId="22">
    <w:name w:val="font21"/>
    <w:basedOn w:val="19"/>
    <w:unhideWhenUsed/>
    <w:qFormat/>
    <w:uiPriority w:val="0"/>
    <w:rPr>
      <w:rFonts w:hint="eastAsia" w:ascii="仿宋_GB2312" w:hAnsi="Times New Roman" w:eastAsia="仿宋_GB2312"/>
      <w:color w:val="000000"/>
      <w:sz w:val="20"/>
    </w:rPr>
  </w:style>
  <w:style w:type="character" w:customStyle="1" w:styleId="23">
    <w:name w:val="font51"/>
    <w:basedOn w:val="19"/>
    <w:unhideWhenUsed/>
    <w:qFormat/>
    <w:uiPriority w:val="0"/>
    <w:rPr>
      <w:rFonts w:hint="eastAsia" w:ascii="宋体" w:hAnsi="宋体" w:eastAsia="宋体"/>
      <w:color w:val="FF0000"/>
      <w:sz w:val="20"/>
    </w:rPr>
  </w:style>
  <w:style w:type="character" w:customStyle="1" w:styleId="24">
    <w:name w:val="批注框文本 Char"/>
    <w:basedOn w:val="19"/>
    <w:link w:val="12"/>
    <w:unhideWhenUsed/>
    <w:qFormat/>
    <w:uiPriority w:val="0"/>
    <w:rPr>
      <w:rFonts w:hint="default"/>
      <w:kern w:val="2"/>
      <w:sz w:val="18"/>
    </w:rPr>
  </w:style>
  <w:style w:type="character" w:customStyle="1" w:styleId="25">
    <w:name w:val="font31"/>
    <w:basedOn w:val="19"/>
    <w:unhideWhenUsed/>
    <w:qFormat/>
    <w:uiPriority w:val="0"/>
    <w:rPr>
      <w:rFonts w:hint="eastAsia" w:ascii="仿宋_GB2312" w:hAnsi="Times New Roman" w:eastAsia="仿宋_GB2312"/>
      <w:color w:val="000000"/>
      <w:sz w:val="20"/>
    </w:rPr>
  </w:style>
  <w:style w:type="character" w:customStyle="1" w:styleId="26">
    <w:name w:val="font11"/>
    <w:basedOn w:val="19"/>
    <w:unhideWhenUsed/>
    <w:qFormat/>
    <w:uiPriority w:val="0"/>
    <w:rPr>
      <w:rFonts w:hint="eastAsia" w:ascii="宋体" w:hAnsi="宋体" w:eastAsia="宋体"/>
      <w:b/>
      <w:color w:val="000000"/>
      <w:sz w:val="16"/>
    </w:rPr>
  </w:style>
  <w:style w:type="character" w:customStyle="1" w:styleId="27">
    <w:name w:val="font41"/>
    <w:basedOn w:val="19"/>
    <w:unhideWhenUsed/>
    <w:qFormat/>
    <w:uiPriority w:val="0"/>
    <w:rPr>
      <w:rFonts w:hint="eastAsia" w:ascii="宋体" w:hAnsi="宋体" w:eastAsia="宋体"/>
      <w:color w:val="000000"/>
      <w:sz w:val="16"/>
    </w:rPr>
  </w:style>
  <w:style w:type="table" w:customStyle="1" w:styleId="28">
    <w:name w:val="Table Normal"/>
    <w:semiHidden/>
    <w:unhideWhenUsed/>
    <w:qFormat/>
    <w:uiPriority w:val="0"/>
    <w:tblPr>
      <w:tblCellMar>
        <w:top w:w="0" w:type="dxa"/>
        <w:left w:w="0" w:type="dxa"/>
        <w:bottom w:w="0" w:type="dxa"/>
        <w:right w:w="0" w:type="dxa"/>
      </w:tblCellMar>
    </w:tblPr>
  </w:style>
  <w:style w:type="character" w:customStyle="1" w:styleId="29">
    <w:name w:val="font71"/>
    <w:basedOn w:val="19"/>
    <w:qFormat/>
    <w:uiPriority w:val="0"/>
    <w:rPr>
      <w:rFonts w:hint="eastAsia" w:ascii="宋体" w:hAnsi="宋体" w:eastAsia="宋体" w:cs="宋体"/>
      <w:color w:val="0070C0"/>
      <w:sz w:val="20"/>
      <w:szCs w:val="20"/>
      <w:u w:val="none"/>
    </w:rPr>
  </w:style>
  <w:style w:type="character" w:customStyle="1" w:styleId="30">
    <w:name w:val="font61"/>
    <w:basedOn w:val="19"/>
    <w:qFormat/>
    <w:uiPriority w:val="0"/>
    <w:rPr>
      <w:rFonts w:hint="eastAsia" w:ascii="宋体" w:hAnsi="宋体" w:eastAsia="宋体" w:cs="宋体"/>
      <w:color w:val="000000"/>
      <w:sz w:val="24"/>
      <w:szCs w:val="24"/>
      <w:u w:val="none"/>
    </w:rPr>
  </w:style>
  <w:style w:type="character" w:customStyle="1" w:styleId="31">
    <w:name w:val="font101"/>
    <w:basedOn w:val="19"/>
    <w:qFormat/>
    <w:uiPriority w:val="0"/>
    <w:rPr>
      <w:rFonts w:hint="eastAsia" w:ascii="宋体" w:hAnsi="宋体" w:eastAsia="宋体" w:cs="宋体"/>
      <w:color w:val="FF0000"/>
      <w:sz w:val="20"/>
      <w:szCs w:val="20"/>
      <w:u w:val="none"/>
    </w:rPr>
  </w:style>
  <w:style w:type="character" w:customStyle="1" w:styleId="32">
    <w:name w:val="font112"/>
    <w:basedOn w:val="19"/>
    <w:qFormat/>
    <w:uiPriority w:val="0"/>
    <w:rPr>
      <w:rFonts w:hint="eastAsia" w:ascii="宋体" w:hAnsi="宋体" w:eastAsia="宋体" w:cs="宋体"/>
      <w:color w:val="0066CC"/>
      <w:sz w:val="22"/>
      <w:szCs w:val="22"/>
      <w:u w:val="none"/>
    </w:rPr>
  </w:style>
  <w:style w:type="character" w:customStyle="1" w:styleId="33">
    <w:name w:val="font121"/>
    <w:basedOn w:val="19"/>
    <w:qFormat/>
    <w:uiPriority w:val="0"/>
    <w:rPr>
      <w:rFonts w:hint="eastAsia" w:ascii="宋体" w:hAnsi="宋体" w:eastAsia="宋体" w:cs="宋体"/>
      <w:color w:val="FF0000"/>
      <w:sz w:val="22"/>
      <w:szCs w:val="22"/>
      <w:u w:val="none"/>
    </w:rPr>
  </w:style>
  <w:style w:type="character" w:customStyle="1" w:styleId="34">
    <w:name w:val="font131"/>
    <w:basedOn w:val="19"/>
    <w:qFormat/>
    <w:uiPriority w:val="0"/>
    <w:rPr>
      <w:rFonts w:hint="eastAsia" w:ascii="宋体" w:hAnsi="宋体" w:eastAsia="宋体" w:cs="宋体"/>
      <w:color w:val="FF0000"/>
      <w:sz w:val="24"/>
      <w:szCs w:val="24"/>
      <w:u w:val="none"/>
    </w:rPr>
  </w:style>
  <w:style w:type="character" w:customStyle="1" w:styleId="35">
    <w:name w:val="font81"/>
    <w:basedOn w:val="19"/>
    <w:qFormat/>
    <w:uiPriority w:val="0"/>
    <w:rPr>
      <w:rFonts w:hint="eastAsia" w:ascii="宋体" w:hAnsi="宋体" w:eastAsia="宋体" w:cs="宋体"/>
      <w:color w:val="FF0000"/>
      <w:sz w:val="14"/>
      <w:szCs w:val="14"/>
      <w:u w:val="none"/>
    </w:rPr>
  </w:style>
  <w:style w:type="character" w:customStyle="1" w:styleId="36">
    <w:name w:val="font91"/>
    <w:basedOn w:val="19"/>
    <w:qFormat/>
    <w:uiPriority w:val="0"/>
    <w:rPr>
      <w:rFonts w:hint="eastAsia" w:ascii="宋体" w:hAnsi="宋体" w:eastAsia="宋体" w:cs="宋体"/>
      <w:color w:val="FF0000"/>
      <w:sz w:val="24"/>
      <w:szCs w:val="24"/>
      <w:u w:val="none"/>
    </w:rPr>
  </w:style>
  <w:style w:type="character" w:customStyle="1" w:styleId="37">
    <w:name w:val="font111"/>
    <w:basedOn w:val="19"/>
    <w:qFormat/>
    <w:uiPriority w:val="0"/>
    <w:rPr>
      <w:rFonts w:hint="default" w:ascii="Arial" w:hAnsi="Arial" w:cs="Arial"/>
      <w:color w:val="000000"/>
      <w:sz w:val="14"/>
      <w:szCs w:val="14"/>
      <w:u w:val="none"/>
    </w:rPr>
  </w:style>
  <w:style w:type="character" w:customStyle="1" w:styleId="38">
    <w:name w:val="font122"/>
    <w:basedOn w:val="19"/>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69</Pages>
  <Words>135640</Words>
  <Characters>147446</Characters>
  <TotalTime>3</TotalTime>
  <ScaleCrop>false</ScaleCrop>
  <LinksUpToDate>false</LinksUpToDate>
  <CharactersWithSpaces>147639</CharactersWithSpaces>
  <Application>WPS Office_11.1.0.11194_F1E327BC-269C-435d-A152-05C5408002CA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2022-04-08T18:17:00Z</dcterms:created>
  <dc:creator>翟邵昀</dc:creator>
  <cp:lastModifiedBy>vingsoft1</cp:lastModifiedBy>
  <dcterms:modified xsi:type="dcterms:W3CDTF">2022-04-29T03:15:29Z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B0DE9185F2044BF38CA3418DC828E7B9</vt:lpwstr>
  </property>
</Properties>
</file>