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360" w:lineRule="auto"/>
        <w:textAlignment w:val="auto"/>
        <w:rPr>
          <w:rFonts w:hint="eastAsia" w:ascii="楷体_GB2312" w:hAnsi="黑体" w:eastAsia="楷体_GB2312"/>
          <w:sz w:val="28"/>
          <w:szCs w:val="28"/>
          <w:lang w:eastAsia="zh-CN"/>
        </w:rPr>
      </w:pPr>
      <w:r>
        <w:rPr>
          <w:rFonts w:hint="eastAsia" w:ascii="楷体_GB2312" w:hAnsi="黑体" w:eastAsia="楷体_GB2312"/>
          <w:sz w:val="28"/>
          <w:szCs w:val="28"/>
        </w:rPr>
        <w:t>锡盟人大</w:t>
      </w:r>
      <w:r>
        <w:rPr>
          <w:rFonts w:hint="eastAsia" w:ascii="楷体_GB2312" w:hAnsi="黑体" w:eastAsia="楷体_GB2312"/>
          <w:sz w:val="28"/>
          <w:szCs w:val="28"/>
          <w:lang w:eastAsia="zh-CN"/>
        </w:rPr>
        <w:t>工作委员会</w:t>
      </w:r>
      <w:r>
        <w:rPr>
          <w:rFonts w:hint="eastAsia" w:ascii="楷体_GB2312" w:hAnsi="黑体" w:eastAsia="楷体_GB2312"/>
          <w:sz w:val="28"/>
          <w:szCs w:val="28"/>
        </w:rPr>
        <w:t>十</w:t>
      </w:r>
      <w:r>
        <w:rPr>
          <w:rFonts w:hint="eastAsia" w:ascii="楷体_GB2312" w:hAnsi="黑体" w:eastAsia="楷体_GB2312"/>
          <w:sz w:val="28"/>
          <w:szCs w:val="28"/>
          <w:lang w:eastAsia="zh-CN"/>
        </w:rPr>
        <w:t>三</w:t>
      </w:r>
      <w:r>
        <w:rPr>
          <w:rFonts w:hint="eastAsia" w:ascii="楷体_GB2312" w:hAnsi="黑体" w:eastAsia="楷体_GB2312"/>
          <w:sz w:val="28"/>
          <w:szCs w:val="28"/>
        </w:rPr>
        <w:t>届</w:t>
      </w:r>
      <w:r>
        <w:rPr>
          <w:rFonts w:hint="eastAsia" w:ascii="楷体_GB2312" w:hAnsi="黑体" w:eastAsia="楷体_GB2312"/>
          <w:sz w:val="28"/>
          <w:szCs w:val="28"/>
          <w:lang w:val="en-US" w:eastAsia="zh-CN"/>
        </w:rPr>
        <w:t>十四</w:t>
      </w:r>
      <w:r>
        <w:rPr>
          <w:rFonts w:hint="eastAsia" w:ascii="楷体_GB2312" w:hAnsi="黑体" w:eastAsia="楷体_GB2312"/>
          <w:sz w:val="28"/>
          <w:szCs w:val="28"/>
        </w:rPr>
        <w:t>次会议材料</w:t>
      </w:r>
      <w:r>
        <w:rPr>
          <w:rFonts w:hint="eastAsia" w:ascii="楷体_GB2312" w:hAnsi="黑体" w:eastAsia="楷体_GB2312"/>
          <w:sz w:val="28"/>
          <w:szCs w:val="28"/>
          <w:lang w:eastAsia="zh-CN"/>
        </w:rPr>
        <w:t>（</w:t>
      </w:r>
      <w:r>
        <w:rPr>
          <w:rFonts w:hint="eastAsia" w:ascii="楷体_GB2312" w:hAnsi="黑体" w:eastAsia="楷体_GB2312"/>
          <w:sz w:val="28"/>
          <w:szCs w:val="28"/>
          <w:lang w:val="en-US" w:eastAsia="zh-CN"/>
        </w:rPr>
        <w:t>四</w:t>
      </w:r>
      <w:r>
        <w:rPr>
          <w:rFonts w:hint="eastAsia" w:ascii="楷体_GB2312" w:hAnsi="黑体" w:eastAsia="楷体_GB2312"/>
          <w:sz w:val="28"/>
          <w:szCs w:val="28"/>
          <w:lang w:eastAsia="zh-CN"/>
        </w:rPr>
        <w:t>）</w:t>
      </w:r>
    </w:p>
    <w:p>
      <w:pPr>
        <w:wordWrap/>
        <w:adjustRightInd/>
        <w:snapToGrid/>
        <w:spacing w:line="360" w:lineRule="auto"/>
        <w:ind w:firstLine="640" w:firstLineChars="200"/>
        <w:textAlignment w:val="auto"/>
        <w:rPr>
          <w:rFonts w:hint="eastAsia" w:ascii="仿宋_GB2312" w:eastAsia="仿宋_GB2312"/>
          <w:sz w:val="32"/>
          <w:szCs w:val="32"/>
        </w:rPr>
      </w:pPr>
    </w:p>
    <w:p>
      <w:pPr>
        <w:wordWrap/>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关于20</w:t>
      </w:r>
      <w:r>
        <w:rPr>
          <w:rFonts w:hint="eastAsia" w:ascii="宋体" w:hAnsi="宋体" w:cs="宋体"/>
          <w:b/>
          <w:bCs/>
          <w:sz w:val="44"/>
          <w:szCs w:val="44"/>
          <w:lang w:val="en-US" w:eastAsia="zh-CN"/>
        </w:rPr>
        <w:t>20</w:t>
      </w:r>
      <w:r>
        <w:rPr>
          <w:rFonts w:hint="eastAsia" w:ascii="宋体" w:hAnsi="宋体" w:eastAsia="宋体" w:cs="宋体"/>
          <w:b/>
          <w:bCs/>
          <w:sz w:val="44"/>
          <w:szCs w:val="44"/>
        </w:rPr>
        <w:t>年度盟本级决算草案的报告</w:t>
      </w:r>
    </w:p>
    <w:p>
      <w:pPr>
        <w:pStyle w:val="2"/>
        <w:wordWrap/>
        <w:adjustRightInd/>
        <w:snapToGrid/>
        <w:spacing w:line="360" w:lineRule="auto"/>
        <w:ind w:left="0" w:leftChars="0" w:firstLine="0" w:firstLineChars="0"/>
        <w:textAlignment w:val="auto"/>
        <w:rPr>
          <w:rFonts w:hint="eastAsia"/>
        </w:rPr>
      </w:pPr>
    </w:p>
    <w:p>
      <w:pPr>
        <w:wordWrap/>
        <w:adjustRightInd/>
        <w:snapToGrid/>
        <w:spacing w:line="360" w:lineRule="auto"/>
        <w:jc w:val="center"/>
        <w:textAlignment w:val="auto"/>
        <w:rPr>
          <w:rFonts w:hint="eastAsia" w:ascii="楷体_GB2312" w:eastAsia="楷体_GB2312"/>
          <w:sz w:val="32"/>
          <w:szCs w:val="32"/>
          <w:lang w:eastAsia="zh-CN"/>
        </w:rPr>
      </w:pPr>
      <w:r>
        <w:rPr>
          <w:rFonts w:hint="eastAsia" w:ascii="楷体_GB2312" w:eastAsia="楷体_GB2312"/>
          <w:sz w:val="32"/>
          <w:szCs w:val="32"/>
          <w:lang w:eastAsia="zh-CN"/>
        </w:rPr>
        <w:t>锡林郭勒盟行政公署</w:t>
      </w:r>
    </w:p>
    <w:p>
      <w:pPr>
        <w:wordWrap/>
        <w:adjustRightInd/>
        <w:snapToGrid/>
        <w:spacing w:line="360" w:lineRule="auto"/>
        <w:jc w:val="center"/>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20</w:t>
      </w:r>
      <w:r>
        <w:rPr>
          <w:rFonts w:hint="eastAsia" w:ascii="楷体_GB2312" w:eastAsia="楷体_GB2312"/>
          <w:sz w:val="32"/>
          <w:szCs w:val="32"/>
          <w:lang w:val="en-US" w:eastAsia="zh-CN"/>
        </w:rPr>
        <w:t>21</w:t>
      </w:r>
      <w:r>
        <w:rPr>
          <w:rFonts w:hint="eastAsia" w:ascii="楷体_GB2312" w:eastAsia="楷体_GB2312"/>
          <w:sz w:val="32"/>
          <w:szCs w:val="32"/>
        </w:rPr>
        <w:t>年</w:t>
      </w:r>
      <w:r>
        <w:rPr>
          <w:rFonts w:hint="eastAsia" w:ascii="楷体_GB2312" w:eastAsia="楷体_GB2312"/>
          <w:sz w:val="32"/>
          <w:szCs w:val="32"/>
          <w:lang w:val="en-US" w:eastAsia="zh-CN"/>
        </w:rPr>
        <w:t>8</w:t>
      </w:r>
      <w:r>
        <w:rPr>
          <w:rFonts w:hint="eastAsia" w:ascii="楷体_GB2312" w:eastAsia="楷体_GB2312"/>
          <w:sz w:val="32"/>
          <w:szCs w:val="32"/>
        </w:rPr>
        <w:t>月</w:t>
      </w:r>
      <w:r>
        <w:rPr>
          <w:rFonts w:hint="eastAsia" w:ascii="楷体_GB2312" w:eastAsia="楷体_GB2312"/>
          <w:sz w:val="32"/>
          <w:szCs w:val="32"/>
          <w:lang w:val="en-US" w:eastAsia="zh-CN"/>
        </w:rPr>
        <w:t>10</w:t>
      </w:r>
      <w:r>
        <w:rPr>
          <w:rFonts w:hint="eastAsia" w:ascii="楷体_GB2312" w:eastAsia="楷体_GB2312"/>
          <w:sz w:val="32"/>
          <w:szCs w:val="32"/>
        </w:rPr>
        <w:t>日</w:t>
      </w:r>
      <w:r>
        <w:rPr>
          <w:rFonts w:hint="eastAsia" w:ascii="楷体_GB2312" w:eastAsia="楷体_GB2312"/>
          <w:sz w:val="32"/>
          <w:szCs w:val="32"/>
          <w:lang w:eastAsia="zh-CN"/>
        </w:rPr>
        <w:t>）</w:t>
      </w:r>
    </w:p>
    <w:p>
      <w:pPr>
        <w:wordWrap/>
        <w:adjustRightInd/>
        <w:snapToGrid/>
        <w:spacing w:line="360" w:lineRule="auto"/>
        <w:ind w:firstLine="640" w:firstLineChars="200"/>
        <w:textAlignment w:val="auto"/>
        <w:rPr>
          <w:rFonts w:hint="eastAsia" w:ascii="仿宋_GB2312" w:eastAsia="仿宋_GB2312"/>
          <w:sz w:val="32"/>
          <w:szCs w:val="32"/>
        </w:rPr>
      </w:pPr>
    </w:p>
    <w:p>
      <w:pPr>
        <w:widowControl w:val="0"/>
        <w:wordWrap/>
        <w:adjustRightInd/>
        <w:spacing w:before="0" w:after="0" w:line="620" w:lineRule="exact"/>
        <w:ind w:right="0"/>
        <w:textAlignment w:val="auto"/>
        <w:outlineLvl w:val="9"/>
        <w:rPr>
          <w:rFonts w:hint="eastAsia" w:eastAsia="仿宋_GB2312"/>
          <w:sz w:val="32"/>
          <w:szCs w:val="32"/>
        </w:rPr>
      </w:pPr>
      <w:r>
        <w:rPr>
          <w:rFonts w:hint="eastAsia" w:eastAsia="仿宋_GB2312"/>
          <w:sz w:val="32"/>
          <w:szCs w:val="32"/>
        </w:rPr>
        <w:t>各位主任、委员：</w:t>
      </w:r>
    </w:p>
    <w:p>
      <w:pPr>
        <w:widowControl w:val="0"/>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lang w:eastAsia="zh-CN"/>
        </w:rPr>
        <w:t>现在</w:t>
      </w:r>
      <w:r>
        <w:rPr>
          <w:rFonts w:hint="eastAsia" w:eastAsia="仿宋_GB2312"/>
          <w:sz w:val="32"/>
          <w:szCs w:val="32"/>
        </w:rPr>
        <w:t>向盟人大工作委员会十三届</w:t>
      </w:r>
      <w:r>
        <w:rPr>
          <w:rFonts w:hint="eastAsia" w:eastAsia="仿宋_GB2312"/>
          <w:sz w:val="32"/>
          <w:szCs w:val="32"/>
          <w:lang w:val="en-US" w:eastAsia="zh-CN"/>
        </w:rPr>
        <w:t>十四</w:t>
      </w:r>
      <w:r>
        <w:rPr>
          <w:rFonts w:hint="eastAsia" w:eastAsia="仿宋_GB2312"/>
          <w:sz w:val="32"/>
          <w:szCs w:val="32"/>
        </w:rPr>
        <w:t>次会议</w:t>
      </w:r>
      <w:r>
        <w:rPr>
          <w:rFonts w:hint="eastAsia" w:eastAsia="仿宋_GB2312"/>
          <w:sz w:val="32"/>
          <w:szCs w:val="32"/>
          <w:lang w:eastAsia="zh-CN"/>
        </w:rPr>
        <w:t>报告</w:t>
      </w:r>
      <w:r>
        <w:rPr>
          <w:rFonts w:hint="eastAsia" w:eastAsia="仿宋_GB2312"/>
          <w:sz w:val="32"/>
          <w:szCs w:val="32"/>
        </w:rPr>
        <w:t>20</w:t>
      </w:r>
      <w:r>
        <w:rPr>
          <w:rFonts w:hint="eastAsia" w:eastAsia="仿宋_GB2312"/>
          <w:sz w:val="32"/>
          <w:szCs w:val="32"/>
          <w:lang w:val="en-US" w:eastAsia="zh-CN"/>
        </w:rPr>
        <w:t>20</w:t>
      </w:r>
      <w:r>
        <w:rPr>
          <w:rFonts w:hint="eastAsia" w:eastAsia="仿宋_GB2312"/>
          <w:sz w:val="32"/>
          <w:szCs w:val="32"/>
        </w:rPr>
        <w:t>年度盟本级财政决算草案情况，请予审</w:t>
      </w:r>
      <w:r>
        <w:rPr>
          <w:rFonts w:hint="eastAsia" w:eastAsia="仿宋_GB2312"/>
          <w:sz w:val="32"/>
          <w:szCs w:val="32"/>
          <w:lang w:eastAsia="zh-CN"/>
        </w:rPr>
        <w:t>查</w:t>
      </w:r>
      <w:r>
        <w:rPr>
          <w:rFonts w:hint="eastAsia" w:eastAsia="仿宋_GB2312"/>
          <w:sz w:val="32"/>
          <w:szCs w:val="32"/>
        </w:rPr>
        <w:t>。</w:t>
      </w:r>
    </w:p>
    <w:p>
      <w:pPr>
        <w:widowControl w:val="0"/>
        <w:wordWrap/>
        <w:adjustRightInd/>
        <w:spacing w:before="0" w:after="0" w:line="62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一、盟本级财政决算情况</w:t>
      </w:r>
    </w:p>
    <w:p>
      <w:pPr>
        <w:widowControl w:val="0"/>
        <w:wordWrap/>
        <w:adjustRightInd/>
        <w:spacing w:before="0" w:after="0" w:line="620" w:lineRule="exact"/>
        <w:ind w:left="0" w:leftChars="0" w:right="0" w:firstLine="640" w:firstLineChars="200"/>
        <w:textAlignment w:val="auto"/>
        <w:outlineLvl w:val="9"/>
        <w:rPr>
          <w:rFonts w:ascii="楷体_GB2312" w:eastAsia="楷体_GB2312"/>
          <w:sz w:val="32"/>
          <w:szCs w:val="32"/>
        </w:rPr>
      </w:pPr>
      <w:r>
        <w:rPr>
          <w:rFonts w:hint="eastAsia" w:ascii="楷体_GB2312" w:eastAsia="楷体_GB2312"/>
          <w:sz w:val="32"/>
          <w:szCs w:val="32"/>
        </w:rPr>
        <w:t>（一）一般公共预算收支决算</w:t>
      </w:r>
    </w:p>
    <w:p>
      <w:pPr>
        <w:widowControl w:val="0"/>
        <w:wordWrap/>
        <w:adjustRightInd/>
        <w:spacing w:before="0" w:after="0" w:line="620" w:lineRule="exact"/>
        <w:ind w:left="0" w:leftChars="0" w:right="0" w:firstLine="640" w:firstLineChars="200"/>
        <w:textAlignment w:val="auto"/>
        <w:outlineLvl w:val="9"/>
        <w:rPr>
          <w:rFonts w:eastAsia="仿宋_GB2312"/>
          <w:sz w:val="32"/>
          <w:szCs w:val="32"/>
        </w:rPr>
      </w:pPr>
      <w:r>
        <w:rPr>
          <w:rFonts w:hint="eastAsia" w:eastAsia="仿宋_GB2312"/>
          <w:sz w:val="32"/>
          <w:szCs w:val="32"/>
        </w:rPr>
        <w:t>2020年，盟本级一般公共预算收入完成10.7亿元，</w:t>
      </w:r>
      <w:r>
        <w:rPr>
          <w:rFonts w:eastAsia="仿宋_GB2312"/>
          <w:sz w:val="32"/>
          <w:szCs w:val="32"/>
        </w:rPr>
        <w:t>完成</w:t>
      </w:r>
      <w:r>
        <w:rPr>
          <w:rFonts w:hint="eastAsia" w:eastAsia="仿宋_GB2312"/>
          <w:sz w:val="32"/>
          <w:szCs w:val="32"/>
        </w:rPr>
        <w:t>调整</w:t>
      </w:r>
      <w:r>
        <w:rPr>
          <w:rFonts w:eastAsia="仿宋_GB2312"/>
          <w:sz w:val="32"/>
          <w:szCs w:val="32"/>
        </w:rPr>
        <w:t>预算的</w:t>
      </w:r>
      <w:r>
        <w:rPr>
          <w:rFonts w:hint="eastAsia" w:eastAsia="仿宋_GB2312"/>
          <w:sz w:val="32"/>
          <w:szCs w:val="32"/>
        </w:rPr>
        <w:t>121.4</w:t>
      </w:r>
      <w:r>
        <w:rPr>
          <w:rFonts w:eastAsia="仿宋_GB2312"/>
          <w:sz w:val="32"/>
          <w:szCs w:val="32"/>
        </w:rPr>
        <w:t>%</w:t>
      </w:r>
      <w:r>
        <w:rPr>
          <w:rFonts w:hint="eastAsia" w:eastAsia="仿宋_GB2312"/>
          <w:sz w:val="32"/>
          <w:szCs w:val="32"/>
        </w:rPr>
        <w:t>。上级补助收入完成17.6亿元，较调整预算增加6.9亿元，其中财力性补助收入5.6亿元，与调整预算一致；自治区专项补助收入12亿元，较调整预算增加6.9亿元。动用预算稳定调节基金7,459万元、调入国有资本经营收益256万元、上年结余结转4.5亿元、地方政府一般债券10.6亿元、从旗县上解收入23.2亿元，收入总计67.4亿元。</w:t>
      </w:r>
    </w:p>
    <w:p>
      <w:pPr>
        <w:widowControl w:val="0"/>
        <w:wordWrap/>
        <w:adjustRightInd/>
        <w:snapToGrid w:val="0"/>
        <w:spacing w:before="0" w:after="0" w:line="620" w:lineRule="exact"/>
        <w:ind w:left="0" w:leftChars="0" w:right="0" w:firstLine="640" w:firstLineChars="200"/>
        <w:textAlignment w:val="auto"/>
        <w:outlineLvl w:val="9"/>
        <w:rPr>
          <w:rFonts w:eastAsia="仿宋_GB2312"/>
          <w:sz w:val="32"/>
          <w:szCs w:val="32"/>
        </w:rPr>
      </w:pPr>
      <w:r>
        <w:rPr>
          <w:rFonts w:hint="eastAsia" w:eastAsia="仿宋_GB2312"/>
          <w:sz w:val="32"/>
          <w:szCs w:val="32"/>
        </w:rPr>
        <w:t>盟本级一般公共预算支出</w:t>
      </w:r>
      <w:r>
        <w:rPr>
          <w:rFonts w:eastAsia="仿宋_GB2312"/>
          <w:sz w:val="32"/>
          <w:szCs w:val="32"/>
        </w:rPr>
        <w:t>完成</w:t>
      </w:r>
      <w:r>
        <w:rPr>
          <w:rFonts w:hint="eastAsia" w:eastAsia="仿宋_GB2312"/>
          <w:sz w:val="32"/>
          <w:szCs w:val="32"/>
        </w:rPr>
        <w:t>53.9亿</w:t>
      </w:r>
      <w:r>
        <w:rPr>
          <w:rFonts w:eastAsia="仿宋_GB2312"/>
          <w:sz w:val="32"/>
          <w:szCs w:val="32"/>
        </w:rPr>
        <w:t>元</w:t>
      </w:r>
      <w:r>
        <w:rPr>
          <w:rFonts w:hint="eastAsia" w:eastAsia="仿宋_GB2312"/>
          <w:sz w:val="32"/>
          <w:szCs w:val="32"/>
        </w:rPr>
        <w:t>，完成调整预算的98%。其中：一般公共服务支出完成5.9亿元，增长23.8%；社会保障和就业支出完成12.1亿元，增长0.7%；教育支出完成3.9亿元，下降49.4%；交通运输支出10.6亿元，下降19.5%；农林水事务支出完成3.7亿元，增长7.4%；公共安全支出完成2.6亿元，增长13.3%；卫生健康支出完成6.7亿元，增长20.2%；文化旅游体育与传媒支出完成2.1亿元，下降35.4%；其他各类支出6.3亿元，下降2%。加上地方政府一般债务还本支出8.1亿元、补充预算稳定调节基金2.4亿元，支出总计为64.4亿元。</w:t>
      </w:r>
    </w:p>
    <w:p>
      <w:pPr>
        <w:widowControl w:val="0"/>
        <w:wordWrap/>
        <w:adjustRightInd/>
        <w:snapToGrid w:val="0"/>
        <w:spacing w:before="0" w:after="0" w:line="620" w:lineRule="exact"/>
        <w:ind w:left="0" w:leftChars="0" w:right="0" w:firstLine="640" w:firstLineChars="200"/>
        <w:textAlignment w:val="auto"/>
        <w:outlineLvl w:val="9"/>
        <w:rPr>
          <w:rFonts w:eastAsia="仿宋_GB2312"/>
          <w:sz w:val="32"/>
          <w:szCs w:val="32"/>
        </w:rPr>
      </w:pPr>
      <w:r>
        <w:rPr>
          <w:rFonts w:eastAsia="仿宋_GB2312"/>
          <w:sz w:val="32"/>
          <w:szCs w:val="32"/>
        </w:rPr>
        <w:t>收支相抵</w:t>
      </w:r>
      <w:r>
        <w:rPr>
          <w:rFonts w:hint="eastAsia" w:eastAsia="仿宋_GB2312"/>
          <w:sz w:val="32"/>
          <w:szCs w:val="32"/>
        </w:rPr>
        <w:t>后，年末滚存结余3亿元，全部结转下年使用</w:t>
      </w:r>
      <w:r>
        <w:rPr>
          <w:rFonts w:eastAsia="仿宋_GB2312"/>
          <w:sz w:val="32"/>
          <w:szCs w:val="32"/>
        </w:rPr>
        <w:t>。</w:t>
      </w:r>
    </w:p>
    <w:p>
      <w:pPr>
        <w:pStyle w:val="4"/>
        <w:widowControl w:val="0"/>
        <w:numPr>
          <w:ilvl w:val="0"/>
          <w:numId w:val="1"/>
        </w:numPr>
        <w:wordWrap/>
        <w:adjustRightInd/>
        <w:spacing w:before="0" w:after="0" w:line="620" w:lineRule="exact"/>
        <w:ind w:left="0" w:leftChars="0" w:right="0" w:firstLine="640" w:firstLineChars="200"/>
        <w:jc w:val="both"/>
        <w:textAlignment w:val="auto"/>
        <w:outlineLvl w:val="9"/>
        <w:rPr>
          <w:rFonts w:ascii="楷体_GB2312" w:eastAsia="楷体_GB2312"/>
          <w:sz w:val="32"/>
          <w:szCs w:val="32"/>
        </w:rPr>
      </w:pPr>
      <w:r>
        <w:rPr>
          <w:rFonts w:hint="eastAsia" w:ascii="楷体_GB2312" w:eastAsia="楷体_GB2312"/>
          <w:sz w:val="32"/>
          <w:szCs w:val="32"/>
        </w:rPr>
        <w:t>政府性基金收支决算</w:t>
      </w:r>
    </w:p>
    <w:p>
      <w:pPr>
        <w:pStyle w:val="4"/>
        <w:widowControl w:val="0"/>
        <w:wordWrap/>
        <w:adjustRightInd/>
        <w:spacing w:before="0" w:after="0" w:line="620" w:lineRule="exact"/>
        <w:ind w:left="0" w:leftChars="0" w:right="0" w:firstLine="640" w:firstLineChars="200"/>
        <w:jc w:val="both"/>
        <w:textAlignment w:val="auto"/>
        <w:outlineLvl w:val="9"/>
        <w:rPr>
          <w:rFonts w:eastAsia="仿宋_GB2312"/>
          <w:sz w:val="32"/>
          <w:szCs w:val="32"/>
        </w:rPr>
      </w:pPr>
      <w:r>
        <w:rPr>
          <w:rFonts w:hint="eastAsia" w:eastAsia="仿宋_GB2312"/>
          <w:sz w:val="32"/>
          <w:szCs w:val="32"/>
        </w:rPr>
        <w:t>2020年，盟本级政府性基金收入完成4,077万元，完成预算的68.4%，同比增长764%，主要是新型墙体材料收入、车辆通行费未按预期入库。加上上级补助收入4,279万元、上年结转992万元、专项债券收入9.4亿元、上解旗县收入8,334万元，收入总计11.2亿元；政府性基金支出完成10.9亿元，完成预算的94.8%，加上专项债</w:t>
      </w:r>
      <w:r>
        <w:rPr>
          <w:rFonts w:hint="eastAsia" w:eastAsia="仿宋_GB2312"/>
          <w:sz w:val="32"/>
          <w:szCs w:val="32"/>
          <w:lang w:eastAsia="zh-CN"/>
        </w:rPr>
        <w:t>券</w:t>
      </w:r>
      <w:r>
        <w:rPr>
          <w:rFonts w:hint="eastAsia" w:eastAsia="仿宋_GB2312"/>
          <w:sz w:val="32"/>
          <w:szCs w:val="32"/>
        </w:rPr>
        <w:t>还本支出2,163万元，支出总计为11.1亿元。收支相抵后，年末结转结余1,006万元。</w:t>
      </w:r>
    </w:p>
    <w:p>
      <w:pPr>
        <w:widowControl w:val="0"/>
        <w:numPr>
          <w:ilvl w:val="0"/>
          <w:numId w:val="1"/>
        </w:numPr>
        <w:wordWrap/>
        <w:adjustRightInd/>
        <w:spacing w:before="0" w:after="0" w:line="620" w:lineRule="exact"/>
        <w:ind w:left="0" w:leftChars="0" w:right="0" w:firstLine="640" w:firstLineChars="200"/>
        <w:textAlignment w:val="auto"/>
        <w:outlineLvl w:val="9"/>
        <w:rPr>
          <w:rFonts w:ascii="楷体_GB2312" w:eastAsia="楷体_GB2312"/>
          <w:sz w:val="32"/>
          <w:szCs w:val="32"/>
        </w:rPr>
      </w:pPr>
      <w:r>
        <w:rPr>
          <w:rFonts w:hint="eastAsia" w:ascii="楷体_GB2312" w:eastAsia="楷体_GB2312"/>
          <w:sz w:val="32"/>
          <w:szCs w:val="32"/>
        </w:rPr>
        <w:t>国有资本经营收支决算</w:t>
      </w:r>
    </w:p>
    <w:p>
      <w:pPr>
        <w:widowControl w:val="0"/>
        <w:wordWrap/>
        <w:adjustRightInd/>
        <w:spacing w:before="0" w:after="0" w:line="620" w:lineRule="exact"/>
        <w:ind w:left="0" w:leftChars="0" w:right="0" w:firstLine="640" w:firstLineChars="200"/>
        <w:textAlignment w:val="auto"/>
        <w:outlineLvl w:val="9"/>
        <w:rPr>
          <w:rFonts w:eastAsia="仿宋_GB2312"/>
          <w:sz w:val="32"/>
          <w:szCs w:val="32"/>
        </w:rPr>
      </w:pPr>
      <w:r>
        <w:rPr>
          <w:rFonts w:hint="eastAsia" w:eastAsia="仿宋_GB2312"/>
          <w:sz w:val="32"/>
          <w:szCs w:val="32"/>
        </w:rPr>
        <w:t>2020年，盟本级国有资本经营预算收入完成9,040万元，加上上年结转收入1,259万元，上级补助26万元，收入总计</w:t>
      </w:r>
      <w:r>
        <w:rPr>
          <w:rFonts w:hint="eastAsia" w:eastAsia="仿宋_GB2312"/>
          <w:sz w:val="32"/>
          <w:szCs w:val="32"/>
          <w:lang w:val="en-US" w:eastAsia="zh-CN"/>
        </w:rPr>
        <w:t>1亿</w:t>
      </w:r>
      <w:r>
        <w:rPr>
          <w:rFonts w:hint="eastAsia" w:eastAsia="仿宋_GB2312"/>
          <w:sz w:val="32"/>
          <w:szCs w:val="32"/>
        </w:rPr>
        <w:t>元；国有资本经营预算支出1,856万元，调出256万元，支出合计2,112万元。收支相抵后，结转下年8,213万元（含上级结转资金26万元）。</w:t>
      </w:r>
    </w:p>
    <w:p>
      <w:pPr>
        <w:widowControl w:val="0"/>
        <w:wordWrap/>
        <w:adjustRightInd/>
        <w:spacing w:before="0" w:after="0" w:line="620" w:lineRule="exact"/>
        <w:ind w:left="0" w:leftChars="0" w:right="0" w:firstLine="640" w:firstLineChars="200"/>
        <w:textAlignment w:val="auto"/>
        <w:outlineLvl w:val="9"/>
        <w:rPr>
          <w:rFonts w:eastAsia="仿宋_GB2312"/>
          <w:sz w:val="32"/>
          <w:szCs w:val="32"/>
        </w:rPr>
      </w:pPr>
      <w:r>
        <w:rPr>
          <w:rFonts w:hint="eastAsia" w:ascii="楷体_GB2312" w:eastAsia="楷体_GB2312"/>
          <w:sz w:val="32"/>
          <w:szCs w:val="32"/>
        </w:rPr>
        <w:t>（四）社会保险基金收支决算</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ascii="黑体" w:hAnsi="黑体" w:eastAsia="黑体"/>
          <w:sz w:val="32"/>
          <w:szCs w:val="32"/>
        </w:rPr>
      </w:pPr>
      <w:r>
        <w:rPr>
          <w:rFonts w:hint="eastAsia" w:eastAsia="仿宋_GB2312"/>
          <w:sz w:val="32"/>
          <w:szCs w:val="32"/>
        </w:rPr>
        <w:t>2020年，盟本级社会保险基金收入完成 65.9亿元，完成预算的144%，增长 68 %；社会保险基金支出完成 50.5亿元，完成预算的109%，增长 26%。收支相抵后，当年结余15.4亿元，年末滚存结余 32.5亿元。</w:t>
      </w:r>
      <w:r>
        <w:rPr>
          <w:rFonts w:hint="eastAsia" w:eastAsia="仿宋_GB2312"/>
          <w:sz w:val="32"/>
          <w:szCs w:val="32"/>
        </w:rPr>
        <w:br w:type="textWrapping"/>
      </w:r>
      <w:r>
        <w:rPr>
          <w:rFonts w:hint="eastAsia" w:eastAsia="仿宋_GB2312"/>
          <w:sz w:val="32"/>
          <w:szCs w:val="32"/>
        </w:rPr>
        <w:t xml:space="preserve">    </w:t>
      </w:r>
      <w:r>
        <w:rPr>
          <w:rFonts w:hint="eastAsia" w:ascii="黑体" w:hAnsi="黑体" w:eastAsia="黑体"/>
          <w:sz w:val="32"/>
          <w:szCs w:val="32"/>
        </w:rPr>
        <w:t>二、预算调整情况及预算完成情况</w:t>
      </w:r>
      <w:r>
        <w:rPr>
          <w:rFonts w:hint="eastAsia" w:ascii="黑体" w:hAnsi="黑体" w:eastAsia="黑体"/>
          <w:sz w:val="32"/>
          <w:szCs w:val="32"/>
        </w:rPr>
        <w:br w:type="textWrapping"/>
      </w:r>
      <w:r>
        <w:rPr>
          <w:rFonts w:hint="eastAsia" w:ascii="黑体" w:hAnsi="黑体" w:eastAsia="黑体"/>
          <w:sz w:val="32"/>
          <w:szCs w:val="32"/>
        </w:rPr>
        <w:t xml:space="preserve">   </w:t>
      </w:r>
      <w:r>
        <w:rPr>
          <w:rFonts w:hint="eastAsia" w:ascii="楷体_GB2312" w:eastAsia="楷体_GB2312"/>
          <w:sz w:val="32"/>
          <w:szCs w:val="32"/>
        </w:rPr>
        <w:t>（一）预算调整执行情况。</w:t>
      </w:r>
      <w:r>
        <w:rPr>
          <w:rFonts w:hint="eastAsia" w:eastAsia="仿宋_GB2312"/>
          <w:sz w:val="32"/>
          <w:szCs w:val="32"/>
        </w:rPr>
        <w:t>按照中央、自治区对重大项目及政策性支出的相关要求，以及盟委、行署工作安排，根据盟本级各项财力的增减变化情况，盟本级分别于2020年10月和12月编制了预算调整方案，经盟人大工委十三届十一次会议和十三届十二次会议批准后执行。</w:t>
      </w:r>
      <w:r>
        <w:rPr>
          <w:rFonts w:hint="eastAsia" w:eastAsia="仿宋_GB2312"/>
          <w:sz w:val="32"/>
          <w:szCs w:val="32"/>
        </w:rPr>
        <w:br w:type="textWrapping"/>
      </w:r>
      <w:r>
        <w:rPr>
          <w:rFonts w:hint="eastAsia" w:eastAsia="仿宋_GB2312"/>
          <w:sz w:val="32"/>
          <w:szCs w:val="32"/>
        </w:rPr>
        <w:t xml:space="preserve">   </w:t>
      </w:r>
      <w:r>
        <w:rPr>
          <w:rFonts w:hint="eastAsia" w:ascii="楷体_GB2312" w:eastAsia="楷体_GB2312"/>
          <w:sz w:val="32"/>
          <w:szCs w:val="32"/>
        </w:rPr>
        <w:t>（二）预算完成情况。</w:t>
      </w:r>
      <w:r>
        <w:rPr>
          <w:rFonts w:hint="eastAsia" w:eastAsia="仿宋_GB2312"/>
          <w:sz w:val="32"/>
          <w:szCs w:val="32"/>
        </w:rPr>
        <w:t>2020年，全盟财政系统在盟委、行署的正确领导下，在人大的监督下，全年预算执行情况较好。一般公共预算收入完成调整预算的121.4%，政府性基金预算完成调整预算的85.8%，主要是新型墙体材料基金未按时入库；国有资本经营预算完成调整预算的100%。</w:t>
      </w:r>
      <w:r>
        <w:rPr>
          <w:rFonts w:hint="eastAsia" w:eastAsia="仿宋_GB2312"/>
          <w:sz w:val="32"/>
          <w:szCs w:val="32"/>
        </w:rPr>
        <w:br w:type="textWrapping"/>
      </w:r>
      <w:r>
        <w:rPr>
          <w:rFonts w:hint="eastAsia" w:eastAsia="仿宋_GB2312"/>
          <w:sz w:val="32"/>
          <w:szCs w:val="32"/>
        </w:rPr>
        <w:t xml:space="preserve">    </w:t>
      </w:r>
      <w:r>
        <w:rPr>
          <w:rFonts w:hint="eastAsia" w:ascii="黑体" w:hAnsi="黑体" w:eastAsia="黑体"/>
          <w:sz w:val="32"/>
          <w:szCs w:val="32"/>
          <w:lang w:val="en-US" w:eastAsia="zh-CN"/>
        </w:rPr>
        <w:t>三、</w:t>
      </w:r>
      <w:r>
        <w:rPr>
          <w:rFonts w:hint="eastAsia" w:ascii="黑体" w:hAnsi="黑体" w:eastAsia="黑体"/>
          <w:sz w:val="32"/>
          <w:szCs w:val="32"/>
        </w:rPr>
        <w:t>重点支出及重大投资项目绩效情况</w:t>
      </w:r>
      <w:r>
        <w:rPr>
          <w:rFonts w:hint="eastAsia" w:ascii="黑体" w:hAnsi="黑体" w:eastAsia="黑体" w:cs="黑体"/>
          <w:sz w:val="32"/>
          <w:szCs w:val="32"/>
        </w:rPr>
        <w:br w:type="textWrapping"/>
      </w:r>
      <w:r>
        <w:rPr>
          <w:rFonts w:hint="eastAsia" w:ascii="黑体" w:hAnsi="黑体" w:eastAsia="黑体" w:cs="黑体"/>
          <w:sz w:val="32"/>
          <w:szCs w:val="32"/>
        </w:rPr>
        <w:t xml:space="preserve">    </w:t>
      </w:r>
      <w:r>
        <w:rPr>
          <w:rFonts w:hint="eastAsia" w:eastAsia="仿宋_GB2312"/>
          <w:sz w:val="32"/>
          <w:szCs w:val="32"/>
        </w:rPr>
        <w:t>为进一步提高财政资金使用效益，强化部门财政支出责任和效率，盟财政局对2020年盟本级财政预算支出的53个重点项目和44个再评价项目进行了绩效评价，涉及预算安排资金17.96亿元（其中，预算安排5,000万以上的重大项目共13个，涉及预算安排资金11.85亿元）。重点评价项目和再评价项目涵盖了教育、医疗、环保、文化、扶贫等重要民生领域，聚焦我盟重大基础设施建设、产业转型升级等重点领域。</w:t>
      </w:r>
      <w:r>
        <w:rPr>
          <w:rFonts w:hint="eastAsia" w:eastAsia="仿宋_GB2312"/>
          <w:sz w:val="32"/>
          <w:szCs w:val="32"/>
        </w:rPr>
        <w:br w:type="textWrapping"/>
      </w:r>
      <w:r>
        <w:rPr>
          <w:rFonts w:hint="eastAsia" w:eastAsia="仿宋_GB2312"/>
          <w:sz w:val="32"/>
          <w:szCs w:val="32"/>
        </w:rPr>
        <w:t xml:space="preserve">    从评价结果看，53个重点评价项目中：绩效评价90分以上绩效评价结果为“有效”的项目共21个；89-80分绩效评价结果为“基本有效”的项目共14个；79-60分绩效评价结果为“一般有效”的项目共14个；60</w:t>
      </w:r>
      <w:r>
        <w:rPr>
          <w:rFonts w:hint="eastAsia" w:eastAsia="仿宋_GB2312"/>
          <w:sz w:val="32"/>
          <w:szCs w:val="32"/>
          <w:lang w:eastAsia="zh-CN"/>
        </w:rPr>
        <w:t>分</w:t>
      </w:r>
      <w:r>
        <w:rPr>
          <w:rFonts w:hint="eastAsia" w:eastAsia="仿宋_GB2312"/>
          <w:sz w:val="32"/>
          <w:szCs w:val="32"/>
        </w:rPr>
        <w:t>以下</w:t>
      </w:r>
      <w:bookmarkStart w:id="0" w:name="_GoBack"/>
      <w:bookmarkEnd w:id="0"/>
      <w:r>
        <w:rPr>
          <w:rFonts w:hint="eastAsia" w:eastAsia="仿宋_GB2312"/>
          <w:sz w:val="32"/>
          <w:szCs w:val="32"/>
        </w:rPr>
        <w:t>绩效评价结果为“无效”的项目共4个。</w:t>
      </w:r>
      <w:r>
        <w:rPr>
          <w:rFonts w:hint="eastAsia" w:eastAsia="仿宋_GB2312"/>
          <w:sz w:val="32"/>
          <w:szCs w:val="32"/>
        </w:rPr>
        <w:br w:type="textWrapping"/>
      </w:r>
      <w:r>
        <w:rPr>
          <w:rFonts w:hint="eastAsia" w:eastAsia="仿宋_GB2312"/>
          <w:sz w:val="32"/>
          <w:szCs w:val="32"/>
        </w:rPr>
        <w:t xml:space="preserve">    44个再评价项目中：绩效评价90分以上绩效评价结果为“有效”的项目共2个；89-80分绩效评价结果为“基本有效”的项目共20个；79-60分绩效评价结果为“一般有效”的项目共18个；60</w:t>
      </w:r>
      <w:r>
        <w:rPr>
          <w:rFonts w:hint="eastAsia" w:eastAsia="仿宋_GB2312"/>
          <w:sz w:val="32"/>
          <w:szCs w:val="32"/>
          <w:lang w:eastAsia="zh-CN"/>
        </w:rPr>
        <w:t>分</w:t>
      </w:r>
      <w:r>
        <w:rPr>
          <w:rFonts w:hint="eastAsia" w:eastAsia="仿宋_GB2312"/>
          <w:sz w:val="32"/>
          <w:szCs w:val="32"/>
        </w:rPr>
        <w:t>以下分绩效评价结果为“无效”的项目共4个。</w:t>
      </w:r>
      <w:r>
        <w:rPr>
          <w:rFonts w:hint="eastAsia" w:eastAsia="仿宋_GB2312"/>
          <w:sz w:val="32"/>
          <w:szCs w:val="32"/>
        </w:rPr>
        <w:br w:type="textWrapping"/>
      </w:r>
      <w:r>
        <w:rPr>
          <w:rFonts w:hint="eastAsia" w:eastAsia="仿宋_GB2312"/>
          <w:sz w:val="32"/>
          <w:szCs w:val="32"/>
        </w:rPr>
        <w:t xml:space="preserve">    重点项目绩效评价等级为“无效”的4个项目中：智慧公安注册资本金项目实施进度缓慢，截至绩效检查之日项目可行性研究报告尚未得到批复；地下水动态监测井建设项目在2019年全盟动态水源监测井建成数量已达到使用要求、完成建设任务，2020年计划任务无需实施，未申请资金拨付；电视高标清改造项目实施进度缓慢，截至绩效检查之日，实际采购尚未完成；建设工程社会保障费项目以前年度结余金额足已满足 2020 年建设工程社会保障费划拨工作，2020年度项目单位未申请拨付此项资金。</w:t>
      </w:r>
      <w:r>
        <w:rPr>
          <w:rFonts w:hint="eastAsia" w:eastAsia="仿宋_GB2312"/>
          <w:sz w:val="32"/>
          <w:szCs w:val="32"/>
        </w:rPr>
        <w:br w:type="textWrapping"/>
      </w:r>
      <w:r>
        <w:rPr>
          <w:rFonts w:hint="eastAsia" w:eastAsia="仿宋_GB2312"/>
          <w:sz w:val="32"/>
          <w:szCs w:val="32"/>
        </w:rPr>
        <w:t xml:space="preserve">    再评价项目绩效评价等级为“无效”的4个项目中：外事工作经费项目年初未结合涉密情况及实际情况合理设定细化、量化绩效目标；不动产登记信息系统维护费项目未到免费服务期，无需付费进行维护，该项目未实施；全盟移动执法系统及机房运行维护费项目项目推进进度缓慢，截止绩效检查之日项目资金闲置；环境监督、监察及执法大练兵专项经费项目未严格按照绩效目标设置情况实施该项目，截止绩效检查之日项目资金闲置。</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黑体" w:hAnsi="黑体" w:eastAsia="黑体"/>
          <w:sz w:val="32"/>
          <w:szCs w:val="32"/>
        </w:rPr>
        <w:t xml:space="preserve">  </w:t>
      </w:r>
      <w:r>
        <w:rPr>
          <w:rFonts w:hint="eastAsia" w:ascii="黑体" w:hAnsi="黑体" w:eastAsia="黑体"/>
          <w:sz w:val="32"/>
          <w:szCs w:val="32"/>
          <w:lang w:val="en-US" w:eastAsia="zh-CN"/>
        </w:rPr>
        <w:t>四、政府债务管理和债券资金使用情况</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rPr>
        <w:t>2020年盟本级新增债券资金安排使用11.7亿元，其中：新增一般债券2.5亿元，用于一般公路建设1.1亿元、医疗设备购置950万元、党校新校区基本建设工程400万元、乌宁巴图鼠疫监测与应急培训基地290万元、消防训练基地2,300万元、武警机动大队营房建设1,500万元、政务服务中心智慧化项目500万元、盟工程检测实验办公楼840万元、戒毒所基础设施366万元、广播电视台高清系统1,500万元、元上都遗址保护项目5,000万元；新增专项债券9.2亿元，用于收费公路建设6.2亿元、铁路建设1亿元、购置医疗专用设备1.5亿元、建设盟蒙医医院蒙医传统疗术楼项目5,000万元。</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pPr>
      <w:r>
        <w:rPr>
          <w:rFonts w:hint="eastAsia" w:eastAsia="仿宋_GB2312"/>
          <w:sz w:val="32"/>
          <w:szCs w:val="32"/>
        </w:rPr>
        <w:t>再融资债券安排使用8.3亿元，用于偿还到期债券本金。</w:t>
      </w:r>
    </w:p>
    <w:p>
      <w:pPr>
        <w:widowControl w:val="0"/>
        <w:numPr>
          <w:ilvl w:val="0"/>
          <w:numId w:val="0"/>
        </w:numPr>
        <w:pBdr>
          <w:bottom w:val="single" w:color="FFFFFF" w:sz="4" w:space="30"/>
        </w:pBdr>
        <w:tabs>
          <w:tab w:val="left" w:pos="2700"/>
          <w:tab w:val="left" w:pos="2996"/>
          <w:tab w:val="left" w:pos="8640"/>
        </w:tabs>
        <w:wordWrap/>
        <w:adjustRightInd/>
        <w:spacing w:before="0" w:after="0" w:line="620" w:lineRule="exact"/>
        <w:ind w:right="0"/>
        <w:jc w:val="left"/>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五、</w:t>
      </w:r>
      <w:r>
        <w:rPr>
          <w:rFonts w:hint="eastAsia" w:ascii="黑体" w:hAnsi="黑体" w:eastAsia="黑体"/>
          <w:sz w:val="32"/>
          <w:szCs w:val="32"/>
        </w:rPr>
        <w:t>转移支付资金的安排使用情况</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rPr>
        <w:t>2020年，全盟收到上级税收返还和各类转移支付179.7亿元，比上年增加13.8亿元，增长8.3%。盟本级对旗县市（区）税收返还和各类转移支付支出162.2亿元，增长14.1%。</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rPr>
        <w:t>盟本级对旗县市（区）税收返还和一般性转移支付共计126.8亿元。其中税收返还、均衡性转移支付、县级基本财力保障转移支付、边境地区转移支付等财力性转移支付共计84.4亿元，这些转移支付主要用于“三保”和公益性项目支出；共同财政事权转移支付42.4亿元，主要包括农林水转移支付21.7亿元、社会保障和就业转移支付7.5亿元、教育转移支付4亿元、医疗卫生转移支付2.2亿元、交通运输转移支付2.1亿元、以及其他各类共同财政事权转移支付4.9亿元。这些转移支付主要用于基本公共服务方面的支出。</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ascii="黑体" w:hAnsi="黑体" w:eastAsia="黑体"/>
          <w:sz w:val="32"/>
          <w:szCs w:val="32"/>
        </w:rPr>
      </w:pPr>
      <w:r>
        <w:rPr>
          <w:rFonts w:hint="eastAsia" w:eastAsia="仿宋_GB2312"/>
          <w:sz w:val="32"/>
          <w:szCs w:val="32"/>
        </w:rPr>
        <w:t>盟本级对旗县市（区）专项转移支付35.4亿元，资金主要来源是中央和自治区对下专项转移支付，以及盟本级根据相关规定配套10.4亿元。专项转移支付主要根据党中央、国务院确定的政策，重点用于农林水、教育、医疗卫生、社会保障和就业、交通运输、节能环保等领域。</w:t>
      </w:r>
      <w:r>
        <w:rPr>
          <w:rFonts w:hint="eastAsia" w:eastAsia="仿宋_GB2312"/>
          <w:sz w:val="32"/>
          <w:szCs w:val="32"/>
        </w:rPr>
        <w:br w:type="textWrapping"/>
      </w:r>
      <w:r>
        <w:rPr>
          <w:rFonts w:hint="eastAsia" w:ascii="黑体" w:hAnsi="黑体" w:eastAsia="黑体"/>
          <w:sz w:val="32"/>
          <w:szCs w:val="32"/>
        </w:rPr>
        <w:t xml:space="preserve">    六、超收收入安排情况及预算稳定调节基金使用情况</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rPr>
      </w:pPr>
      <w:r>
        <w:rPr>
          <w:rFonts w:hint="eastAsia" w:eastAsia="仿宋_GB2312"/>
          <w:sz w:val="32"/>
          <w:szCs w:val="32"/>
        </w:rPr>
        <w:t>2020年，盟本级一般公共预算收入超收1.9亿元，全部转为预算稳定调节基金。年度中未动用预算稳定调节基金。</w:t>
      </w:r>
      <w:r>
        <w:rPr>
          <w:rFonts w:hint="eastAsia" w:eastAsia="仿宋_GB2312"/>
          <w:sz w:val="32"/>
          <w:szCs w:val="32"/>
        </w:rPr>
        <w:br w:type="textWrapping"/>
      </w:r>
      <w:r>
        <w:rPr>
          <w:rFonts w:hint="eastAsia" w:ascii="仿宋_GB2312" w:eastAsia="仿宋_GB2312"/>
          <w:sz w:val="32"/>
          <w:szCs w:val="32"/>
        </w:rPr>
        <w:t xml:space="preserve">    </w:t>
      </w:r>
      <w:r>
        <w:rPr>
          <w:rFonts w:hint="eastAsia" w:ascii="黑体" w:hAnsi="黑体" w:eastAsia="黑体"/>
          <w:sz w:val="32"/>
          <w:szCs w:val="32"/>
        </w:rPr>
        <w:t>七、审计查出问题整改情况</w:t>
      </w:r>
      <w:r>
        <w:rPr>
          <w:rFonts w:hint="eastAsia" w:ascii="黑体" w:hAnsi="黑体" w:eastAsia="黑体"/>
          <w:sz w:val="32"/>
          <w:szCs w:val="32"/>
        </w:rPr>
        <w:br w:type="textWrapping"/>
      </w:r>
      <w:r>
        <w:rPr>
          <w:rFonts w:hint="eastAsia" w:ascii="黑体" w:hAnsi="黑体" w:eastAsia="黑体"/>
          <w:sz w:val="32"/>
          <w:szCs w:val="32"/>
        </w:rPr>
        <w:t xml:space="preserve">    </w:t>
      </w:r>
      <w:r>
        <w:rPr>
          <w:rFonts w:hint="eastAsia" w:eastAsia="仿宋_GB2312"/>
          <w:sz w:val="32"/>
          <w:szCs w:val="32"/>
        </w:rPr>
        <w:t>2020年盟审计局对盟本级2019年度预算执行情况进行了审计，审计结果显示盟本级财政预算执行及其他财政收支方面共存在18个问题。其中：</w:t>
      </w:r>
      <w:r>
        <w:rPr>
          <w:rFonts w:hint="eastAsia" w:eastAsia="仿宋_GB2312"/>
          <w:sz w:val="32"/>
          <w:szCs w:val="32"/>
        </w:rPr>
        <w:br w:type="textWrapping"/>
      </w:r>
      <w:r>
        <w:rPr>
          <w:rFonts w:hint="eastAsia" w:eastAsia="仿宋_GB2312"/>
          <w:sz w:val="32"/>
          <w:szCs w:val="32"/>
        </w:rPr>
        <w:t xml:space="preserve">    预算编制方面存在5个问题，3个已完成整改，2个正在持续整改。针对“代编预算规模较大”的问题，盟财政局在2020年、2021年预算中逐步减少代编预算的规模；针对“未将提前下达资金全部列入预算”中，将督促并配合部门加强项目前期工作谋划，提高项目分配效率，确保在规定时间内拿出资金分配方案，以便全部纳入预算。</w:t>
      </w:r>
      <w:r>
        <w:rPr>
          <w:rFonts w:hint="eastAsia" w:eastAsia="仿宋_GB2312"/>
          <w:sz w:val="32"/>
          <w:szCs w:val="32"/>
        </w:rPr>
        <w:br w:type="textWrapping"/>
      </w:r>
      <w:r>
        <w:rPr>
          <w:rFonts w:hint="eastAsia" w:eastAsia="仿宋_GB2312"/>
          <w:sz w:val="32"/>
          <w:szCs w:val="32"/>
        </w:rPr>
        <w:t xml:space="preserve">    预算执行方面存在13个问题，</w:t>
      </w:r>
      <w:r>
        <w:rPr>
          <w:rFonts w:hint="eastAsia" w:eastAsia="仿宋_GB2312"/>
          <w:sz w:val="32"/>
          <w:szCs w:val="32"/>
          <w:lang w:val="en-US" w:eastAsia="zh-CN"/>
        </w:rPr>
        <w:t>9</w:t>
      </w:r>
      <w:r>
        <w:rPr>
          <w:rFonts w:hint="eastAsia" w:eastAsia="仿宋_GB2312"/>
          <w:sz w:val="32"/>
          <w:szCs w:val="32"/>
        </w:rPr>
        <w:t>个已完成整改，</w:t>
      </w:r>
      <w:r>
        <w:rPr>
          <w:rFonts w:hint="eastAsia" w:eastAsia="仿宋_GB2312"/>
          <w:sz w:val="32"/>
          <w:szCs w:val="32"/>
          <w:lang w:val="en-US" w:eastAsia="zh-CN"/>
        </w:rPr>
        <w:t>4</w:t>
      </w:r>
      <w:r>
        <w:rPr>
          <w:rFonts w:hint="eastAsia" w:eastAsia="仿宋_GB2312"/>
          <w:sz w:val="32"/>
          <w:szCs w:val="32"/>
        </w:rPr>
        <w:t>个正在持续整改。针对上级提前下达资金、转移支付资金、盟本级专项资金、盟本级代编预算资金下达拨付不及时的问题，盟财政局将继续积极协调项目主管部门，及时拿出分配方案，力争按照规定时限分解下达。</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各位主任、委员，</w:t>
      </w: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年是</w:t>
      </w:r>
      <w:r>
        <w:rPr>
          <w:rFonts w:hint="eastAsia" w:eastAsia="仿宋_GB2312"/>
          <w:sz w:val="32"/>
          <w:szCs w:val="32"/>
          <w:lang w:val="en-US" w:eastAsia="zh-CN"/>
        </w:rPr>
        <w:t>中国共产党成立100周年，是</w:t>
      </w:r>
      <w:r>
        <w:rPr>
          <w:rFonts w:hint="eastAsia" w:eastAsia="仿宋_GB2312"/>
          <w:sz w:val="32"/>
          <w:szCs w:val="32"/>
        </w:rPr>
        <w:t>“十</w:t>
      </w:r>
      <w:r>
        <w:rPr>
          <w:rFonts w:hint="eastAsia" w:eastAsia="仿宋_GB2312"/>
          <w:sz w:val="32"/>
          <w:szCs w:val="32"/>
          <w:lang w:val="en-US" w:eastAsia="zh-CN"/>
        </w:rPr>
        <w:t>四</w:t>
      </w:r>
      <w:r>
        <w:rPr>
          <w:rFonts w:hint="eastAsia" w:eastAsia="仿宋_GB2312"/>
          <w:sz w:val="32"/>
          <w:szCs w:val="32"/>
        </w:rPr>
        <w:t>五”规划</w:t>
      </w:r>
      <w:r>
        <w:rPr>
          <w:rFonts w:hint="eastAsia" w:eastAsia="仿宋_GB2312"/>
          <w:sz w:val="32"/>
          <w:szCs w:val="32"/>
          <w:lang w:val="en-US" w:eastAsia="zh-CN"/>
        </w:rPr>
        <w:t>开局</w:t>
      </w:r>
      <w:r>
        <w:rPr>
          <w:rFonts w:hint="eastAsia" w:eastAsia="仿宋_GB2312"/>
          <w:sz w:val="32"/>
          <w:szCs w:val="32"/>
        </w:rPr>
        <w:t>之年，</w:t>
      </w:r>
      <w:r>
        <w:rPr>
          <w:rFonts w:hint="eastAsia" w:eastAsia="仿宋_GB2312"/>
          <w:sz w:val="32"/>
          <w:szCs w:val="32"/>
          <w:lang w:val="en-US" w:eastAsia="zh-CN"/>
        </w:rPr>
        <w:t>也是全面建成小康社会、开启全面建设社会主义现代化国家新征程的关键之年，</w:t>
      </w:r>
      <w:r>
        <w:rPr>
          <w:rFonts w:hint="eastAsia" w:eastAsia="仿宋_GB2312"/>
          <w:sz w:val="32"/>
          <w:szCs w:val="32"/>
        </w:rPr>
        <w:t>财政保障任务十分艰巨</w:t>
      </w:r>
      <w:r>
        <w:rPr>
          <w:rFonts w:hint="eastAsia" w:eastAsia="仿宋_GB2312"/>
          <w:sz w:val="32"/>
          <w:szCs w:val="32"/>
          <w:lang w:eastAsia="zh-CN"/>
        </w:rPr>
        <w:t>。</w:t>
      </w:r>
      <w:r>
        <w:rPr>
          <w:rFonts w:hint="eastAsia" w:eastAsia="仿宋_GB2312"/>
          <w:sz w:val="32"/>
          <w:szCs w:val="32"/>
        </w:rPr>
        <w:t>同时受疫情影响，国际、国内经济不稳定不确定因素显著增多，经济社会发展面临新的困难和挑战，财政运行</w:t>
      </w:r>
      <w:r>
        <w:rPr>
          <w:rFonts w:hint="eastAsia" w:eastAsia="仿宋_GB2312"/>
          <w:sz w:val="32"/>
          <w:szCs w:val="32"/>
          <w:lang w:eastAsia="zh-CN"/>
        </w:rPr>
        <w:t>较为</w:t>
      </w:r>
      <w:r>
        <w:rPr>
          <w:rFonts w:hint="eastAsia" w:eastAsia="仿宋_GB2312"/>
          <w:sz w:val="32"/>
          <w:szCs w:val="32"/>
        </w:rPr>
        <w:t>困难。</w:t>
      </w:r>
      <w:r>
        <w:rPr>
          <w:rFonts w:hint="eastAsia" w:eastAsia="仿宋_GB2312"/>
          <w:sz w:val="32"/>
          <w:szCs w:val="32"/>
          <w:lang w:val="en-US" w:eastAsia="zh-CN"/>
        </w:rPr>
        <w:t>我们将按照盟委的决策部署，在盟人大工委的监督和支持下，</w:t>
      </w:r>
      <w:r>
        <w:rPr>
          <w:rFonts w:hint="eastAsia" w:eastAsia="仿宋_GB2312"/>
          <w:sz w:val="32"/>
          <w:szCs w:val="32"/>
        </w:rPr>
        <w:t>迎难而上，强化全盟上下“一盘棋”的理念，打好“铁算盘”，过好“紧日子”，</w:t>
      </w:r>
      <w:r>
        <w:rPr>
          <w:rFonts w:hint="eastAsia" w:eastAsia="仿宋_GB2312"/>
          <w:sz w:val="32"/>
          <w:szCs w:val="32"/>
          <w:lang w:val="en-US" w:eastAsia="zh-CN"/>
        </w:rPr>
        <w:t xml:space="preserve">加大“六稳”工作力度，落实“六保”任务，全面依法加强财政预算和绩效管理，强化责任担当，为全盟经济社会高质量发展作出新的更大的贡献！ </w:t>
      </w:r>
    </w:p>
    <w:p>
      <w:pPr>
        <w:widowControl w:val="0"/>
        <w:pBdr>
          <w:bottom w:val="single" w:color="FFFFFF" w:sz="4" w:space="30"/>
        </w:pBdr>
        <w:tabs>
          <w:tab w:val="left" w:pos="2700"/>
          <w:tab w:val="left" w:pos="2996"/>
          <w:tab w:val="left" w:pos="8640"/>
        </w:tabs>
        <w:wordWrap/>
        <w:adjustRightInd/>
        <w:spacing w:before="0" w:after="0" w:line="620" w:lineRule="exact"/>
        <w:ind w:left="0" w:leftChars="0" w:right="0" w:firstLine="640" w:firstLineChars="200"/>
        <w:textAlignment w:val="auto"/>
        <w:outlineLvl w:val="9"/>
        <w:rPr>
          <w:rFonts w:hint="eastAsia" w:eastAsia="仿宋_GB2312"/>
          <w:sz w:val="32"/>
          <w:szCs w:val="32"/>
          <w:lang w:val="en-US" w:eastAsia="zh-CN"/>
        </w:rPr>
      </w:pPr>
    </w:p>
    <w:p>
      <w:pPr>
        <w:wordWrap/>
        <w:adjustRightInd/>
        <w:snapToGrid/>
        <w:spacing w:line="360" w:lineRule="auto"/>
        <w:textAlignment w:val="auto"/>
      </w:pPr>
    </w:p>
    <w:sectPr>
      <w:footerReference r:id="rId3" w:type="default"/>
      <w:pgSz w:w="11906" w:h="16838"/>
      <w:pgMar w:top="1247" w:right="1531" w:bottom="119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仿宋_GB2312"/>
        <w:sz w:val="28"/>
        <w:szCs w:val="28"/>
      </w:rPr>
    </w:pPr>
    <w:r>
      <w:rPr>
        <w:rFonts w:ascii="Times New Roman" w:hAnsi="Times New Roman" w:eastAsia="宋体" w:cs="Times New Roman"/>
        <w:kern w:val="2"/>
        <w:sz w:val="28"/>
        <w:szCs w:val="22"/>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jc w:val="center"/>
                  <w:rPr>
                    <w:rFonts w:hint="eastAsia" w:eastAsia="仿宋_GB2312"/>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5A759"/>
    <w:multiLevelType w:val="singleLevel"/>
    <w:tmpl w:val="9595A7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9505563"/>
    <w:rsid w:val="54185E3E"/>
    <w:rsid w:val="58124417"/>
    <w:rsid w:val="5F7B7D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line="360" w:lineRule="auto"/>
      <w:ind w:left="420"/>
    </w:pPr>
    <w:rPr>
      <w:rFonts w:ascii="宋体" w:hAnsi="宋体"/>
      <w:sz w:val="30"/>
    </w:rPr>
  </w:style>
  <w:style w:type="paragraph" w:styleId="4">
    <w:name w:val="annotation text"/>
    <w:basedOn w:val="1"/>
    <w:qFormat/>
    <w:uiPriority w:val="0"/>
    <w:pPr>
      <w:jc w:val="left"/>
    </w:pPr>
  </w:style>
  <w:style w:type="paragraph" w:styleId="5">
    <w:name w:val="Body Text"/>
    <w:basedOn w:val="1"/>
    <w:qFormat/>
    <w:uiPriority w:val="0"/>
    <w:pPr>
      <w:widowControl w:val="0"/>
      <w:adjustRightInd w:val="0"/>
      <w:jc w:val="both"/>
      <w:textAlignment w:val="baseline"/>
    </w:pPr>
    <w:rPr>
      <w:rFonts w:ascii="Times New Roman" w:hAnsi="Times New Roman" w:eastAsia="宋体" w:cs="Times New Roman"/>
      <w:kern w:val="2"/>
      <w:sz w:val="32"/>
      <w:szCs w:val="20"/>
      <w:lang w:val="en-US" w:eastAsia="zh-CN" w:bidi="ar-SA"/>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2019-07-11T03:18:00Z</dcterms:created>
  <dc:creator>打伞的鱼</dc:creator>
  <cp:lastModifiedBy>lenovo</cp:lastModifiedBy>
  <cp:lastPrinted>2020-07-31T02:43:00Z</cp:lastPrinted>
  <dcterms:modified xsi:type="dcterms:W3CDTF">2021-10-11T00:48:23Z</dcterms:modified>
  <dc:title>锡盟人大工作委员会十三届十次会议材料（七）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